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091"/>
      </w:tblGrid>
      <w:tr w:rsidR="005B0986" w:rsidRPr="00E96086" w14:paraId="26EE7B2F" w14:textId="77777777" w:rsidTr="00941D1C">
        <w:trPr>
          <w:trHeight w:val="719"/>
        </w:trPr>
        <w:tc>
          <w:tcPr>
            <w:tcW w:w="9243" w:type="dxa"/>
            <w:gridSpan w:val="2"/>
            <w:tcBorders>
              <w:bottom w:val="single" w:sz="4" w:space="0" w:color="365F91"/>
            </w:tcBorders>
            <w:shd w:val="clear" w:color="auto" w:fill="B8CCE4"/>
            <w:vAlign w:val="center"/>
          </w:tcPr>
          <w:p w14:paraId="43915421" w14:textId="77777777" w:rsidR="005B0986" w:rsidRPr="00E96086" w:rsidRDefault="005B0986" w:rsidP="00E96086">
            <w:pPr>
              <w:spacing w:before="120" w:after="0" w:line="240" w:lineRule="auto"/>
              <w:jc w:val="center"/>
              <w:rPr>
                <w:rFonts w:ascii="Arial" w:hAnsi="Arial" w:cs="Arial"/>
                <w:b/>
                <w:bCs/>
                <w:sz w:val="20"/>
                <w:szCs w:val="20"/>
              </w:rPr>
            </w:pPr>
            <w:r w:rsidRPr="00E96086">
              <w:rPr>
                <w:rFonts w:ascii="Arial" w:hAnsi="Arial" w:cs="Arial"/>
                <w:b/>
                <w:bCs/>
                <w:sz w:val="20"/>
                <w:szCs w:val="20"/>
              </w:rPr>
              <w:t>IZVJEŠĆE O SAVJETOVANJU S JAVNOŠĆU</w:t>
            </w:r>
          </w:p>
          <w:p w14:paraId="3955457D" w14:textId="24BE2F82" w:rsidR="005B0986" w:rsidRPr="00E96086" w:rsidRDefault="005B0986" w:rsidP="00941D1C">
            <w:pPr>
              <w:spacing w:after="0" w:line="240" w:lineRule="auto"/>
              <w:jc w:val="center"/>
              <w:rPr>
                <w:rFonts w:ascii="Arial" w:hAnsi="Arial" w:cs="Arial"/>
                <w:b/>
                <w:bCs/>
                <w:sz w:val="20"/>
                <w:szCs w:val="20"/>
              </w:rPr>
            </w:pPr>
            <w:r w:rsidRPr="00E96086">
              <w:rPr>
                <w:rFonts w:ascii="Arial" w:hAnsi="Arial" w:cs="Arial"/>
                <w:b/>
                <w:bCs/>
                <w:sz w:val="20"/>
                <w:szCs w:val="20"/>
              </w:rPr>
              <w:t xml:space="preserve">U POSTUPKU DONOŠENJA </w:t>
            </w:r>
            <w:r w:rsidR="009E5EEF">
              <w:rPr>
                <w:rFonts w:ascii="Arial" w:hAnsi="Arial" w:cs="Arial"/>
                <w:b/>
                <w:bCs/>
                <w:sz w:val="20"/>
                <w:szCs w:val="20"/>
              </w:rPr>
              <w:t>ODLUKE O CIJENI VODNIH USLUGA</w:t>
            </w:r>
          </w:p>
          <w:p w14:paraId="17579B8A" w14:textId="77777777" w:rsidR="005B0986" w:rsidRPr="00E96086" w:rsidRDefault="005B0986" w:rsidP="00941D1C">
            <w:pPr>
              <w:spacing w:after="0" w:line="240" w:lineRule="auto"/>
              <w:jc w:val="center"/>
              <w:rPr>
                <w:rFonts w:ascii="Arial" w:hAnsi="Arial" w:cs="Arial"/>
                <w:b/>
                <w:bCs/>
                <w:sz w:val="20"/>
                <w:szCs w:val="20"/>
              </w:rPr>
            </w:pPr>
          </w:p>
          <w:p w14:paraId="16F6A96B" w14:textId="49010C46" w:rsidR="005B0986" w:rsidRPr="00E96086" w:rsidRDefault="005B0986" w:rsidP="00941D1C">
            <w:pPr>
              <w:spacing w:after="0" w:line="240" w:lineRule="auto"/>
              <w:jc w:val="center"/>
              <w:rPr>
                <w:rFonts w:ascii="Arial" w:hAnsi="Arial" w:cs="Arial"/>
                <w:b/>
                <w:bCs/>
                <w:sz w:val="20"/>
                <w:szCs w:val="20"/>
              </w:rPr>
            </w:pPr>
            <w:r w:rsidRPr="00E96086">
              <w:rPr>
                <w:rFonts w:ascii="Arial" w:hAnsi="Arial" w:cs="Arial"/>
                <w:b/>
                <w:bCs/>
                <w:sz w:val="20"/>
                <w:szCs w:val="20"/>
              </w:rPr>
              <w:t xml:space="preserve">Nositelj izrade izvješća: </w:t>
            </w:r>
            <w:r w:rsidR="00CC0E96">
              <w:rPr>
                <w:rFonts w:ascii="Arial" w:hAnsi="Arial" w:cs="Arial"/>
                <w:b/>
                <w:bCs/>
                <w:sz w:val="20"/>
                <w:szCs w:val="20"/>
              </w:rPr>
              <w:t>KOMRAD</w:t>
            </w:r>
            <w:r w:rsidR="009E5EEF">
              <w:rPr>
                <w:rFonts w:ascii="Arial" w:hAnsi="Arial" w:cs="Arial"/>
                <w:b/>
                <w:bCs/>
                <w:sz w:val="20"/>
                <w:szCs w:val="20"/>
              </w:rPr>
              <w:t xml:space="preserve"> d.o.o., </w:t>
            </w:r>
            <w:r w:rsidR="00CC0E96">
              <w:rPr>
                <w:rFonts w:ascii="Arial" w:hAnsi="Arial" w:cs="Arial"/>
                <w:b/>
                <w:bCs/>
                <w:sz w:val="20"/>
                <w:szCs w:val="20"/>
              </w:rPr>
              <w:t>Kolodvorska 3, 33520 Slatina</w:t>
            </w:r>
          </w:p>
          <w:p w14:paraId="73E4ADDA" w14:textId="59149346" w:rsidR="005B0986" w:rsidRPr="00E96086" w:rsidRDefault="005B0986" w:rsidP="00E96086">
            <w:pPr>
              <w:spacing w:after="120" w:line="240" w:lineRule="auto"/>
              <w:jc w:val="center"/>
              <w:rPr>
                <w:rFonts w:ascii="Arial" w:hAnsi="Arial" w:cs="Arial"/>
                <w:b/>
                <w:bCs/>
                <w:sz w:val="20"/>
                <w:szCs w:val="20"/>
              </w:rPr>
            </w:pPr>
            <w:r w:rsidRPr="00E96086">
              <w:rPr>
                <w:rFonts w:ascii="Arial" w:hAnsi="Arial" w:cs="Arial"/>
                <w:b/>
                <w:bCs/>
                <w:sz w:val="20"/>
                <w:szCs w:val="20"/>
              </w:rPr>
              <w:t>Mjesto, datum</w:t>
            </w:r>
            <w:r w:rsidR="009E5EEF">
              <w:rPr>
                <w:rFonts w:ascii="Arial" w:hAnsi="Arial" w:cs="Arial"/>
                <w:b/>
                <w:bCs/>
                <w:sz w:val="20"/>
                <w:szCs w:val="20"/>
              </w:rPr>
              <w:t xml:space="preserve">: </w:t>
            </w:r>
            <w:r w:rsidR="0013403E">
              <w:rPr>
                <w:rFonts w:ascii="Arial" w:hAnsi="Arial" w:cs="Arial"/>
                <w:b/>
                <w:bCs/>
                <w:sz w:val="20"/>
                <w:szCs w:val="20"/>
              </w:rPr>
              <w:t>Slatina</w:t>
            </w:r>
            <w:r w:rsidR="009E5EEF">
              <w:rPr>
                <w:rFonts w:ascii="Arial" w:hAnsi="Arial" w:cs="Arial"/>
                <w:b/>
                <w:bCs/>
                <w:sz w:val="20"/>
                <w:szCs w:val="20"/>
              </w:rPr>
              <w:t xml:space="preserve">, </w:t>
            </w:r>
            <w:r w:rsidR="009B7D1E">
              <w:rPr>
                <w:rFonts w:ascii="Arial" w:hAnsi="Arial" w:cs="Arial"/>
                <w:b/>
                <w:bCs/>
                <w:sz w:val="20"/>
                <w:szCs w:val="20"/>
              </w:rPr>
              <w:t>20</w:t>
            </w:r>
            <w:r w:rsidR="009E5EEF">
              <w:rPr>
                <w:rFonts w:ascii="Arial" w:hAnsi="Arial" w:cs="Arial"/>
                <w:b/>
                <w:bCs/>
                <w:sz w:val="20"/>
                <w:szCs w:val="20"/>
              </w:rPr>
              <w:t>.</w:t>
            </w:r>
            <w:r w:rsidR="00CC0E96">
              <w:rPr>
                <w:rFonts w:ascii="Arial" w:hAnsi="Arial" w:cs="Arial"/>
                <w:b/>
                <w:bCs/>
                <w:sz w:val="20"/>
                <w:szCs w:val="20"/>
              </w:rPr>
              <w:t>08</w:t>
            </w:r>
            <w:r w:rsidR="009E5EEF">
              <w:rPr>
                <w:rFonts w:ascii="Arial" w:hAnsi="Arial" w:cs="Arial"/>
                <w:b/>
                <w:bCs/>
                <w:sz w:val="20"/>
                <w:szCs w:val="20"/>
              </w:rPr>
              <w:t>.202</w:t>
            </w:r>
            <w:r w:rsidR="00CC0E96">
              <w:rPr>
                <w:rFonts w:ascii="Arial" w:hAnsi="Arial" w:cs="Arial"/>
                <w:b/>
                <w:bCs/>
                <w:sz w:val="20"/>
                <w:szCs w:val="20"/>
              </w:rPr>
              <w:t>4</w:t>
            </w:r>
            <w:r w:rsidR="009E5EEF">
              <w:rPr>
                <w:rFonts w:ascii="Arial" w:hAnsi="Arial" w:cs="Arial"/>
                <w:b/>
                <w:bCs/>
                <w:sz w:val="20"/>
                <w:szCs w:val="20"/>
              </w:rPr>
              <w:t>.</w:t>
            </w:r>
          </w:p>
        </w:tc>
      </w:tr>
      <w:tr w:rsidR="005B0986" w:rsidRPr="00E96086" w14:paraId="42ACF8A7" w14:textId="77777777" w:rsidTr="00E96086">
        <w:trPr>
          <w:trHeight w:val="777"/>
        </w:trPr>
        <w:tc>
          <w:tcPr>
            <w:tcW w:w="4077"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5F87EA3" w14:textId="77777777" w:rsidR="005B0986" w:rsidRPr="00E96086" w:rsidRDefault="005B0986" w:rsidP="00E96086">
            <w:pPr>
              <w:spacing w:beforeLines="60" w:before="144" w:afterLines="60" w:after="144" w:line="240" w:lineRule="auto"/>
              <w:rPr>
                <w:rFonts w:ascii="Arial" w:hAnsi="Arial" w:cs="Arial"/>
                <w:b/>
                <w:bCs/>
                <w:sz w:val="20"/>
                <w:szCs w:val="20"/>
              </w:rPr>
            </w:pPr>
            <w:r w:rsidRPr="00E96086">
              <w:rPr>
                <w:rFonts w:ascii="Arial" w:hAnsi="Arial" w:cs="Arial"/>
                <w:b/>
                <w:bCs/>
                <w:sz w:val="20"/>
                <w:szCs w:val="20"/>
              </w:rPr>
              <w:t xml:space="preserve">Naziv akta za koji je provedeno savjetovanje s javnošću </w:t>
            </w:r>
          </w:p>
        </w:tc>
        <w:tc>
          <w:tcPr>
            <w:tcW w:w="51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91EEE68" w14:textId="6FCC6384" w:rsidR="005B0986" w:rsidRPr="00E96086" w:rsidRDefault="009E5EEF" w:rsidP="00E96086">
            <w:pPr>
              <w:spacing w:beforeLines="60" w:before="144" w:afterLines="60" w:after="144" w:line="240" w:lineRule="auto"/>
              <w:jc w:val="both"/>
              <w:rPr>
                <w:rFonts w:ascii="Arial" w:hAnsi="Arial" w:cs="Arial"/>
                <w:bCs/>
                <w:sz w:val="20"/>
                <w:szCs w:val="20"/>
              </w:rPr>
            </w:pPr>
            <w:r>
              <w:rPr>
                <w:rFonts w:ascii="Arial" w:hAnsi="Arial" w:cs="Arial"/>
                <w:bCs/>
                <w:sz w:val="20"/>
                <w:szCs w:val="20"/>
              </w:rPr>
              <w:t>Odluka o cijeni vodnih usluga</w:t>
            </w:r>
          </w:p>
        </w:tc>
      </w:tr>
      <w:tr w:rsidR="005B0986" w:rsidRPr="00E96086" w14:paraId="32B68336" w14:textId="77777777" w:rsidTr="00E96086">
        <w:trPr>
          <w:trHeight w:val="831"/>
        </w:trPr>
        <w:tc>
          <w:tcPr>
            <w:tcW w:w="4077" w:type="dxa"/>
            <w:tcBorders>
              <w:top w:val="single" w:sz="4" w:space="0" w:color="365F91"/>
              <w:left w:val="single" w:sz="4" w:space="0" w:color="365F91"/>
              <w:bottom w:val="single" w:sz="4" w:space="0" w:color="365F91"/>
              <w:right w:val="single" w:sz="4" w:space="0" w:color="365F91"/>
            </w:tcBorders>
            <w:shd w:val="clear" w:color="auto" w:fill="auto"/>
            <w:vAlign w:val="center"/>
          </w:tcPr>
          <w:p w14:paraId="00CBF597" w14:textId="77777777" w:rsidR="005B0986" w:rsidRPr="00E96086" w:rsidRDefault="005B0986" w:rsidP="00E96086">
            <w:pPr>
              <w:spacing w:beforeLines="60" w:before="144" w:afterLines="60" w:after="144" w:line="240" w:lineRule="auto"/>
              <w:rPr>
                <w:rFonts w:ascii="Arial" w:hAnsi="Arial" w:cs="Arial"/>
                <w:b/>
                <w:bCs/>
                <w:sz w:val="20"/>
                <w:szCs w:val="20"/>
              </w:rPr>
            </w:pPr>
            <w:r w:rsidRPr="00E96086">
              <w:rPr>
                <w:rFonts w:ascii="Arial" w:hAnsi="Arial" w:cs="Arial"/>
                <w:b/>
                <w:bCs/>
                <w:sz w:val="20"/>
                <w:szCs w:val="20"/>
              </w:rPr>
              <w:t xml:space="preserve">Naziv tijela nadležnog za izradu nacrta / provedbu savjetovanja </w:t>
            </w:r>
          </w:p>
        </w:tc>
        <w:tc>
          <w:tcPr>
            <w:tcW w:w="51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B9949F2" w14:textId="01154555" w:rsidR="005B0986" w:rsidRPr="00E96086" w:rsidRDefault="00CC0E96" w:rsidP="00E96086">
            <w:pPr>
              <w:spacing w:beforeLines="60" w:before="144" w:afterLines="60" w:after="144" w:line="240" w:lineRule="auto"/>
              <w:jc w:val="both"/>
              <w:rPr>
                <w:rFonts w:ascii="Arial" w:hAnsi="Arial" w:cs="Arial"/>
                <w:bCs/>
                <w:sz w:val="20"/>
                <w:szCs w:val="20"/>
              </w:rPr>
            </w:pPr>
            <w:r>
              <w:rPr>
                <w:rFonts w:ascii="Arial" w:hAnsi="Arial" w:cs="Arial"/>
                <w:b/>
                <w:bCs/>
                <w:sz w:val="20"/>
                <w:szCs w:val="20"/>
              </w:rPr>
              <w:t>KOMRAD d.o.o., Kolodvorska 3, 33520 Slatina</w:t>
            </w:r>
          </w:p>
        </w:tc>
      </w:tr>
      <w:tr w:rsidR="005B0986" w:rsidRPr="00E96086" w14:paraId="66B0CA38" w14:textId="77777777" w:rsidTr="00E96086">
        <w:trPr>
          <w:trHeight w:val="2402"/>
        </w:trPr>
        <w:tc>
          <w:tcPr>
            <w:tcW w:w="4077" w:type="dxa"/>
            <w:tcBorders>
              <w:top w:val="single" w:sz="4" w:space="0" w:color="365F91"/>
              <w:left w:val="single" w:sz="4" w:space="0" w:color="365F91"/>
              <w:bottom w:val="single" w:sz="4" w:space="0" w:color="auto"/>
              <w:right w:val="single" w:sz="4" w:space="0" w:color="365F91"/>
            </w:tcBorders>
            <w:shd w:val="clear" w:color="auto" w:fill="auto"/>
            <w:vAlign w:val="center"/>
          </w:tcPr>
          <w:p w14:paraId="1ED479BC" w14:textId="77777777" w:rsidR="005B0986" w:rsidRPr="00E96086" w:rsidRDefault="005B0986" w:rsidP="00E96086">
            <w:pPr>
              <w:spacing w:beforeLines="60" w:before="144" w:afterLines="60" w:after="144" w:line="240" w:lineRule="auto"/>
              <w:rPr>
                <w:rFonts w:ascii="Arial" w:hAnsi="Arial" w:cs="Arial"/>
                <w:b/>
                <w:bCs/>
                <w:sz w:val="20"/>
                <w:szCs w:val="20"/>
              </w:rPr>
            </w:pPr>
            <w:r w:rsidRPr="00E96086">
              <w:rPr>
                <w:rFonts w:ascii="Arial" w:hAnsi="Arial" w:cs="Arial"/>
                <w:b/>
                <w:bCs/>
                <w:sz w:val="20"/>
                <w:szCs w:val="20"/>
              </w:rPr>
              <w:t>Razlozi za donošenje akta i ciljevi koji se njime žele postići uz sažetak ključnih pitanja</w:t>
            </w:r>
          </w:p>
        </w:tc>
        <w:tc>
          <w:tcPr>
            <w:tcW w:w="5166" w:type="dxa"/>
            <w:tcBorders>
              <w:top w:val="single" w:sz="4" w:space="0" w:color="365F91"/>
              <w:left w:val="single" w:sz="4" w:space="0" w:color="365F91"/>
              <w:bottom w:val="single" w:sz="4" w:space="0" w:color="365F91"/>
              <w:right w:val="single" w:sz="4" w:space="0" w:color="365F91"/>
            </w:tcBorders>
            <w:shd w:val="clear" w:color="auto" w:fill="auto"/>
          </w:tcPr>
          <w:p w14:paraId="687AFEDF" w14:textId="364582F4" w:rsidR="00CC0E96" w:rsidRPr="00364DA3" w:rsidRDefault="00364DA3" w:rsidP="00160CC8">
            <w:pPr>
              <w:rPr>
                <w:rFonts w:ascii="Arial" w:hAnsi="Arial" w:cs="Arial"/>
                <w:color w:val="1F497D" w:themeColor="text2"/>
                <w:sz w:val="20"/>
                <w:szCs w:val="20"/>
              </w:rPr>
            </w:pPr>
            <w:r w:rsidRPr="00160CC8">
              <w:rPr>
                <w:rFonts w:ascii="Arial" w:hAnsi="Arial" w:cs="Arial"/>
                <w:color w:val="000000" w:themeColor="text1"/>
                <w:sz w:val="20"/>
                <w:szCs w:val="20"/>
              </w:rPr>
              <w:t>Razlozi za predloženo povećanje cijena sadržano je u p</w:t>
            </w:r>
            <w:r w:rsidR="00CC0E96" w:rsidRPr="00160CC8">
              <w:rPr>
                <w:rFonts w:ascii="Arial" w:hAnsi="Arial" w:cs="Arial"/>
                <w:color w:val="000000" w:themeColor="text1"/>
                <w:sz w:val="20"/>
                <w:szCs w:val="20"/>
              </w:rPr>
              <w:t>ovećanj</w:t>
            </w:r>
            <w:r w:rsidRPr="00160CC8">
              <w:rPr>
                <w:rFonts w:ascii="Arial" w:hAnsi="Arial" w:cs="Arial"/>
                <w:color w:val="000000" w:themeColor="text1"/>
                <w:sz w:val="20"/>
                <w:szCs w:val="20"/>
              </w:rPr>
              <w:t>u</w:t>
            </w:r>
            <w:r w:rsidR="00CC0E96" w:rsidRPr="00160CC8">
              <w:rPr>
                <w:rFonts w:ascii="Arial" w:hAnsi="Arial" w:cs="Arial"/>
                <w:color w:val="000000" w:themeColor="text1"/>
                <w:sz w:val="20"/>
                <w:szCs w:val="20"/>
              </w:rPr>
              <w:t xml:space="preserve"> troškova poslovanja</w:t>
            </w:r>
            <w:r w:rsidRPr="00160CC8">
              <w:rPr>
                <w:rFonts w:ascii="Arial" w:hAnsi="Arial" w:cs="Arial"/>
                <w:color w:val="000000" w:themeColor="text1"/>
                <w:sz w:val="20"/>
                <w:szCs w:val="20"/>
              </w:rPr>
              <w:t>: troškovi energenata, materijala i usluga, troškovi tekućeg i investicijskog održavanja komunalnih vodnih građevina, troškovi amortizacije, n</w:t>
            </w:r>
            <w:r w:rsidR="00CC0E96" w:rsidRPr="00160CC8">
              <w:rPr>
                <w:rFonts w:ascii="Arial" w:hAnsi="Arial" w:cs="Arial"/>
                <w:color w:val="000000" w:themeColor="text1"/>
                <w:sz w:val="20"/>
                <w:szCs w:val="20"/>
              </w:rPr>
              <w:t>emogućnost praćenja povećanja plaća sa povećanjem inflacije</w:t>
            </w:r>
            <w:r w:rsidRPr="00364DA3">
              <w:rPr>
                <w:rFonts w:ascii="Arial" w:hAnsi="Arial" w:cs="Arial"/>
                <w:color w:val="1F497D" w:themeColor="text2"/>
                <w:sz w:val="20"/>
                <w:szCs w:val="20"/>
              </w:rPr>
              <w:t>.</w:t>
            </w:r>
          </w:p>
          <w:p w14:paraId="0759AD2D" w14:textId="5891E65B" w:rsidR="00364DA3" w:rsidRDefault="00364DA3" w:rsidP="00160CC8">
            <w:pPr>
              <w:spacing w:beforeLines="60" w:before="144" w:afterLines="60" w:after="144" w:line="240" w:lineRule="auto"/>
              <w:jc w:val="both"/>
              <w:rPr>
                <w:rFonts w:ascii="Arial" w:hAnsi="Arial" w:cs="Arial"/>
                <w:bCs/>
                <w:sz w:val="20"/>
                <w:szCs w:val="20"/>
              </w:rPr>
            </w:pPr>
            <w:r>
              <w:rPr>
                <w:rFonts w:ascii="Arial" w:hAnsi="Arial" w:cs="Arial"/>
                <w:bCs/>
                <w:sz w:val="20"/>
                <w:szCs w:val="20"/>
              </w:rPr>
              <w:t xml:space="preserve">Kako bi se osigurao kontinuitet poslovanja i izvršavanja zakonskih obveza utvrđeno je da je nužno povećati fiksni i varijabilni dio cijene vode i odvodnje </w:t>
            </w:r>
            <w:r w:rsidR="00160CC8">
              <w:rPr>
                <w:rFonts w:ascii="Arial" w:hAnsi="Arial" w:cs="Arial"/>
                <w:bCs/>
                <w:sz w:val="20"/>
                <w:szCs w:val="20"/>
              </w:rPr>
              <w:t>kao i cijenu vodne usluge crpljenja, odvoza i zbrinjavanja otpadnih voda iz septičkih jama.</w:t>
            </w:r>
          </w:p>
          <w:p w14:paraId="584EEB96" w14:textId="703F0FD7" w:rsidR="005B0986" w:rsidRPr="009E5EEF" w:rsidRDefault="005B0986" w:rsidP="00E96086">
            <w:pPr>
              <w:spacing w:beforeLines="60" w:before="144" w:afterLines="60" w:after="144" w:line="240" w:lineRule="auto"/>
              <w:jc w:val="both"/>
              <w:rPr>
                <w:rFonts w:ascii="Arial" w:hAnsi="Arial" w:cs="Arial"/>
                <w:bCs/>
                <w:sz w:val="20"/>
                <w:szCs w:val="20"/>
              </w:rPr>
            </w:pPr>
          </w:p>
        </w:tc>
      </w:tr>
      <w:tr w:rsidR="005B0986" w:rsidRPr="00E96086" w14:paraId="366C5695" w14:textId="77777777" w:rsidTr="00E96086">
        <w:trPr>
          <w:trHeight w:val="525"/>
        </w:trPr>
        <w:tc>
          <w:tcPr>
            <w:tcW w:w="4077" w:type="dxa"/>
            <w:tcBorders>
              <w:top w:val="single" w:sz="4" w:space="0" w:color="auto"/>
              <w:left w:val="single" w:sz="4" w:space="0" w:color="365F91"/>
              <w:bottom w:val="single" w:sz="4" w:space="0" w:color="auto"/>
              <w:right w:val="single" w:sz="4" w:space="0" w:color="365F91"/>
            </w:tcBorders>
            <w:shd w:val="clear" w:color="auto" w:fill="auto"/>
            <w:vAlign w:val="center"/>
          </w:tcPr>
          <w:p w14:paraId="14C3AA4D" w14:textId="6333B4F2" w:rsidR="005B0986" w:rsidRPr="00E96086" w:rsidRDefault="005B0986" w:rsidP="00E96086">
            <w:pPr>
              <w:spacing w:beforeLines="60" w:before="144" w:afterLines="60" w:after="144" w:line="240" w:lineRule="auto"/>
              <w:rPr>
                <w:rFonts w:ascii="Arial" w:hAnsi="Arial" w:cs="Arial"/>
                <w:b/>
                <w:bCs/>
                <w:sz w:val="20"/>
                <w:szCs w:val="20"/>
              </w:rPr>
            </w:pPr>
            <w:r w:rsidRPr="00E96086">
              <w:rPr>
                <w:rFonts w:ascii="Arial" w:hAnsi="Arial" w:cs="Arial"/>
                <w:b/>
                <w:bCs/>
                <w:sz w:val="20"/>
                <w:szCs w:val="20"/>
              </w:rPr>
              <w:t>Objava dokumenata za savjetovanje</w:t>
            </w:r>
            <w:r w:rsidR="00F742DA" w:rsidRPr="00E96086">
              <w:rPr>
                <w:rFonts w:ascii="Arial" w:hAnsi="Arial" w:cs="Arial"/>
                <w:b/>
                <w:bCs/>
                <w:sz w:val="20"/>
                <w:szCs w:val="20"/>
              </w:rPr>
              <w:t xml:space="preserve"> </w:t>
            </w:r>
          </w:p>
        </w:tc>
        <w:tc>
          <w:tcPr>
            <w:tcW w:w="51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6055A77" w14:textId="575E91C2" w:rsidR="005B0986" w:rsidRPr="00E96086" w:rsidRDefault="00160CC8" w:rsidP="00E96086">
            <w:pPr>
              <w:spacing w:beforeLines="60" w:before="144" w:afterLines="60" w:after="144" w:line="240" w:lineRule="auto"/>
              <w:rPr>
                <w:rFonts w:ascii="Arial" w:hAnsi="Arial" w:cs="Arial"/>
                <w:bCs/>
                <w:sz w:val="20"/>
                <w:szCs w:val="20"/>
              </w:rPr>
            </w:pPr>
            <w:r w:rsidRPr="00160CC8">
              <w:rPr>
                <w:rFonts w:ascii="Arial" w:hAnsi="Arial" w:cs="Arial"/>
                <w:bCs/>
                <w:color w:val="00B0F0"/>
                <w:sz w:val="20"/>
                <w:szCs w:val="20"/>
              </w:rPr>
              <w:t>https://www.komrad.hr/savjetovanje-s-javnoscu/</w:t>
            </w:r>
          </w:p>
        </w:tc>
      </w:tr>
      <w:tr w:rsidR="005B0986" w:rsidRPr="00E96086" w14:paraId="05945D96" w14:textId="77777777" w:rsidTr="00E96086">
        <w:trPr>
          <w:trHeight w:val="1073"/>
        </w:trPr>
        <w:tc>
          <w:tcPr>
            <w:tcW w:w="4077" w:type="dxa"/>
            <w:tcBorders>
              <w:top w:val="single" w:sz="4" w:space="0" w:color="auto"/>
              <w:left w:val="single" w:sz="4" w:space="0" w:color="365F91"/>
              <w:bottom w:val="single" w:sz="4" w:space="0" w:color="365F91"/>
              <w:right w:val="single" w:sz="4" w:space="0" w:color="365F91"/>
            </w:tcBorders>
            <w:shd w:val="clear" w:color="auto" w:fill="auto"/>
            <w:vAlign w:val="center"/>
          </w:tcPr>
          <w:p w14:paraId="75425350" w14:textId="51B18C3E" w:rsidR="005B0986" w:rsidRPr="00E96086" w:rsidRDefault="00E96086" w:rsidP="00E96086">
            <w:pPr>
              <w:spacing w:beforeLines="60" w:before="144" w:afterLines="60" w:after="144" w:line="240" w:lineRule="auto"/>
              <w:rPr>
                <w:rFonts w:ascii="Arial" w:hAnsi="Arial" w:cs="Arial"/>
                <w:b/>
                <w:bCs/>
                <w:sz w:val="20"/>
                <w:szCs w:val="20"/>
              </w:rPr>
            </w:pPr>
            <w:r w:rsidRPr="00E96086">
              <w:rPr>
                <w:rFonts w:ascii="Arial" w:hAnsi="Arial" w:cs="Arial"/>
                <w:b/>
                <w:bCs/>
                <w:sz w:val="20"/>
                <w:szCs w:val="20"/>
              </w:rPr>
              <w:t xml:space="preserve">Razdoblje provedbe savjetovanja </w:t>
            </w:r>
          </w:p>
        </w:tc>
        <w:tc>
          <w:tcPr>
            <w:tcW w:w="5166" w:type="dxa"/>
            <w:tcBorders>
              <w:top w:val="single" w:sz="4" w:space="0" w:color="365F91"/>
              <w:left w:val="single" w:sz="4" w:space="0" w:color="365F91"/>
              <w:right w:val="single" w:sz="4" w:space="0" w:color="365F91"/>
            </w:tcBorders>
            <w:shd w:val="clear" w:color="auto" w:fill="auto"/>
            <w:vAlign w:val="center"/>
          </w:tcPr>
          <w:p w14:paraId="3990DDA9" w14:textId="04F5C399" w:rsidR="005B0986" w:rsidRPr="00E96086" w:rsidRDefault="00160CC8" w:rsidP="00E96086">
            <w:pPr>
              <w:spacing w:beforeLines="60" w:before="144" w:afterLines="60" w:after="144" w:line="240" w:lineRule="auto"/>
              <w:rPr>
                <w:rFonts w:ascii="Arial" w:hAnsi="Arial" w:cs="Arial"/>
                <w:bCs/>
                <w:sz w:val="20"/>
                <w:szCs w:val="20"/>
              </w:rPr>
            </w:pPr>
            <w:r>
              <w:rPr>
                <w:rFonts w:ascii="Arial" w:hAnsi="Arial" w:cs="Arial"/>
                <w:bCs/>
                <w:sz w:val="20"/>
                <w:szCs w:val="20"/>
              </w:rPr>
              <w:t>08</w:t>
            </w:r>
            <w:r w:rsidR="009E5EEF">
              <w:rPr>
                <w:rFonts w:ascii="Arial" w:hAnsi="Arial" w:cs="Arial"/>
                <w:bCs/>
                <w:sz w:val="20"/>
                <w:szCs w:val="20"/>
              </w:rPr>
              <w:t>.0</w:t>
            </w:r>
            <w:r>
              <w:rPr>
                <w:rFonts w:ascii="Arial" w:hAnsi="Arial" w:cs="Arial"/>
                <w:bCs/>
                <w:sz w:val="20"/>
                <w:szCs w:val="20"/>
              </w:rPr>
              <w:t>7</w:t>
            </w:r>
            <w:r w:rsidR="009E5EEF">
              <w:rPr>
                <w:rFonts w:ascii="Arial" w:hAnsi="Arial" w:cs="Arial"/>
                <w:bCs/>
                <w:sz w:val="20"/>
                <w:szCs w:val="20"/>
              </w:rPr>
              <w:t>.202</w:t>
            </w:r>
            <w:r>
              <w:rPr>
                <w:rFonts w:ascii="Arial" w:hAnsi="Arial" w:cs="Arial"/>
                <w:bCs/>
                <w:sz w:val="20"/>
                <w:szCs w:val="20"/>
              </w:rPr>
              <w:t>4</w:t>
            </w:r>
            <w:r w:rsidR="009E5EEF">
              <w:rPr>
                <w:rFonts w:ascii="Arial" w:hAnsi="Arial" w:cs="Arial"/>
                <w:bCs/>
                <w:sz w:val="20"/>
                <w:szCs w:val="20"/>
              </w:rPr>
              <w:t>. – 12.</w:t>
            </w:r>
            <w:r>
              <w:rPr>
                <w:rFonts w:ascii="Arial" w:hAnsi="Arial" w:cs="Arial"/>
                <w:bCs/>
                <w:sz w:val="20"/>
                <w:szCs w:val="20"/>
              </w:rPr>
              <w:t>08</w:t>
            </w:r>
            <w:r w:rsidR="009E5EEF">
              <w:rPr>
                <w:rFonts w:ascii="Arial" w:hAnsi="Arial" w:cs="Arial"/>
                <w:bCs/>
                <w:sz w:val="20"/>
                <w:szCs w:val="20"/>
              </w:rPr>
              <w:t>.202</w:t>
            </w:r>
            <w:r>
              <w:rPr>
                <w:rFonts w:ascii="Arial" w:hAnsi="Arial" w:cs="Arial"/>
                <w:bCs/>
                <w:sz w:val="20"/>
                <w:szCs w:val="20"/>
              </w:rPr>
              <w:t>4</w:t>
            </w:r>
            <w:r w:rsidR="009E5EEF">
              <w:rPr>
                <w:rFonts w:ascii="Arial" w:hAnsi="Arial" w:cs="Arial"/>
                <w:bCs/>
                <w:sz w:val="20"/>
                <w:szCs w:val="20"/>
              </w:rPr>
              <w:t>. g.</w:t>
            </w:r>
          </w:p>
        </w:tc>
      </w:tr>
      <w:tr w:rsidR="005B0986" w:rsidRPr="00E96086" w14:paraId="74D3580F" w14:textId="77777777" w:rsidTr="00E96086">
        <w:trPr>
          <w:trHeight w:val="2183"/>
        </w:trPr>
        <w:tc>
          <w:tcPr>
            <w:tcW w:w="4077"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7D6F805" w14:textId="77777777" w:rsidR="005B0986" w:rsidRPr="00E96086" w:rsidRDefault="005B0986" w:rsidP="00E96086">
            <w:pPr>
              <w:spacing w:beforeLines="60" w:before="144" w:afterLines="60" w:after="144" w:line="240" w:lineRule="auto"/>
              <w:rPr>
                <w:rFonts w:ascii="Arial" w:hAnsi="Arial" w:cs="Arial"/>
                <w:b/>
                <w:bCs/>
                <w:sz w:val="20"/>
                <w:szCs w:val="20"/>
              </w:rPr>
            </w:pPr>
            <w:r w:rsidRPr="00E96086">
              <w:rPr>
                <w:rFonts w:ascii="Arial" w:hAnsi="Arial" w:cs="Arial"/>
                <w:b/>
                <w:bCs/>
                <w:sz w:val="20"/>
                <w:szCs w:val="20"/>
              </w:rPr>
              <w:t xml:space="preserve">Pregled osnovnih pokazatelja  uključenosti savjetovanja s javnošću </w:t>
            </w:r>
          </w:p>
        </w:tc>
        <w:tc>
          <w:tcPr>
            <w:tcW w:w="51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8938670" w14:textId="2572DB4B" w:rsidR="005B0986" w:rsidRDefault="00160CC8" w:rsidP="00E96086">
            <w:pPr>
              <w:spacing w:beforeLines="60" w:before="144" w:afterLines="60" w:after="144" w:line="240" w:lineRule="auto"/>
              <w:rPr>
                <w:rFonts w:ascii="Arial" w:hAnsi="Arial" w:cs="Arial"/>
                <w:bCs/>
                <w:sz w:val="20"/>
                <w:szCs w:val="20"/>
              </w:rPr>
            </w:pPr>
            <w:r>
              <w:rPr>
                <w:rFonts w:ascii="Arial" w:hAnsi="Arial" w:cs="Arial"/>
                <w:bCs/>
                <w:sz w:val="20"/>
                <w:szCs w:val="20"/>
              </w:rPr>
              <w:t xml:space="preserve">Primjedbe i prijedloge iskazalo je Vijeće za vodne usluge na formalno-pravni sadržaj nacrta općeg akta </w:t>
            </w:r>
            <w:r w:rsidR="00F25783">
              <w:rPr>
                <w:rFonts w:ascii="Arial" w:hAnsi="Arial" w:cs="Arial"/>
                <w:bCs/>
                <w:sz w:val="20"/>
                <w:szCs w:val="20"/>
              </w:rPr>
              <w:t xml:space="preserve">te jedan  građanin vezano za cijenu socijalno ugroženih građana </w:t>
            </w:r>
            <w:r>
              <w:rPr>
                <w:rFonts w:ascii="Arial" w:hAnsi="Arial" w:cs="Arial"/>
                <w:bCs/>
                <w:sz w:val="20"/>
                <w:szCs w:val="20"/>
              </w:rPr>
              <w:t>kako slijedi:</w:t>
            </w:r>
          </w:p>
          <w:p w14:paraId="530E7992" w14:textId="77777777" w:rsidR="00160CC8" w:rsidRDefault="00160CC8" w:rsidP="00E96086">
            <w:pPr>
              <w:spacing w:beforeLines="60" w:before="144" w:afterLines="60" w:after="144" w:line="240" w:lineRule="auto"/>
              <w:rPr>
                <w:rFonts w:ascii="Arial" w:hAnsi="Arial" w:cs="Arial"/>
                <w:bCs/>
                <w:sz w:val="20"/>
                <w:szCs w:val="20"/>
              </w:rPr>
            </w:pPr>
          </w:p>
          <w:p w14:paraId="4CEBC775" w14:textId="672CF03A" w:rsidR="00160CC8" w:rsidRDefault="00160CC8" w:rsidP="00160CC8">
            <w:pPr>
              <w:pStyle w:val="Odlomakpopisa"/>
              <w:numPr>
                <w:ilvl w:val="0"/>
                <w:numId w:val="1"/>
              </w:numPr>
              <w:spacing w:beforeLines="60" w:before="144" w:afterLines="60" w:after="144" w:line="240" w:lineRule="auto"/>
              <w:rPr>
                <w:rFonts w:ascii="Arial" w:hAnsi="Arial" w:cs="Arial"/>
                <w:bCs/>
                <w:sz w:val="20"/>
                <w:szCs w:val="20"/>
              </w:rPr>
            </w:pPr>
            <w:r>
              <w:rPr>
                <w:rFonts w:ascii="Arial" w:hAnsi="Arial" w:cs="Arial"/>
                <w:bCs/>
                <w:sz w:val="20"/>
                <w:szCs w:val="20"/>
              </w:rPr>
              <w:t>Ispraviti preambulu i naziv općeg akta (</w:t>
            </w:r>
            <w:r w:rsidR="00D77DFF">
              <w:rPr>
                <w:rFonts w:ascii="Arial" w:hAnsi="Arial" w:cs="Arial"/>
                <w:bCs/>
                <w:sz w:val="20"/>
                <w:szCs w:val="20"/>
              </w:rPr>
              <w:t>umjesto Nacrt odluke o cijeni vodnih usluga treba glasiti Odluka o cijeni vodnih usluga te se pozvati se na čl. 109. Zakona o vodnim uslugama a ne na čl. 23. i 24. Zakona o vodnim uslugama</w:t>
            </w:r>
          </w:p>
          <w:p w14:paraId="68471CA7" w14:textId="02FFF047" w:rsidR="00D77DFF" w:rsidRDefault="00D77DFF" w:rsidP="00160CC8">
            <w:pPr>
              <w:pStyle w:val="Odlomakpopisa"/>
              <w:numPr>
                <w:ilvl w:val="0"/>
                <w:numId w:val="1"/>
              </w:numPr>
              <w:spacing w:beforeLines="60" w:before="144" w:afterLines="60" w:after="144" w:line="240" w:lineRule="auto"/>
              <w:rPr>
                <w:rFonts w:ascii="Arial" w:hAnsi="Arial" w:cs="Arial"/>
                <w:bCs/>
                <w:sz w:val="20"/>
                <w:szCs w:val="20"/>
              </w:rPr>
            </w:pPr>
            <w:r>
              <w:rPr>
                <w:rFonts w:ascii="Arial" w:hAnsi="Arial" w:cs="Arial"/>
                <w:bCs/>
                <w:sz w:val="20"/>
                <w:szCs w:val="20"/>
              </w:rPr>
              <w:t>Primjedba na točke III., IV., V., i VI Odluke</w:t>
            </w:r>
          </w:p>
          <w:p w14:paraId="472F444B" w14:textId="2AD84CE3" w:rsidR="00D77DFF" w:rsidRDefault="00D77DFF" w:rsidP="00D77DFF">
            <w:pPr>
              <w:pStyle w:val="Odlomakpopisa"/>
              <w:spacing w:beforeLines="60" w:before="144" w:afterLines="60" w:after="144" w:line="240" w:lineRule="auto"/>
              <w:rPr>
                <w:rFonts w:ascii="Arial" w:hAnsi="Arial" w:cs="Arial"/>
                <w:bCs/>
                <w:sz w:val="20"/>
                <w:szCs w:val="20"/>
              </w:rPr>
            </w:pPr>
            <w:r>
              <w:rPr>
                <w:rFonts w:ascii="Arial" w:hAnsi="Arial" w:cs="Arial"/>
                <w:bCs/>
                <w:sz w:val="20"/>
                <w:szCs w:val="20"/>
              </w:rPr>
              <w:t>tako da treba obrisati termin „osnovna“</w:t>
            </w:r>
          </w:p>
          <w:p w14:paraId="1561A368" w14:textId="77777777" w:rsidR="009C4844" w:rsidRDefault="00D77DFF" w:rsidP="00D77DFF">
            <w:pPr>
              <w:pStyle w:val="Odlomakpopisa"/>
              <w:numPr>
                <w:ilvl w:val="0"/>
                <w:numId w:val="1"/>
              </w:numPr>
              <w:spacing w:beforeLines="60" w:before="144" w:afterLines="60" w:after="144" w:line="240" w:lineRule="auto"/>
              <w:rPr>
                <w:rFonts w:ascii="Arial" w:hAnsi="Arial" w:cs="Arial"/>
                <w:bCs/>
                <w:sz w:val="20"/>
                <w:szCs w:val="20"/>
              </w:rPr>
            </w:pPr>
            <w:r>
              <w:rPr>
                <w:rFonts w:ascii="Arial" w:hAnsi="Arial" w:cs="Arial"/>
                <w:bCs/>
                <w:sz w:val="20"/>
                <w:szCs w:val="20"/>
              </w:rPr>
              <w:t>Primjedba na točke IV. I VI.- na dan 31.12.2022.g. Javni isporučitelj vodnih usluga nije imao utvrđen omjer tarifa za kućanstva i za korisnike koji nisu kućanstva  već je cijena za njih bila izjednačena tako da se i nove tarife ne smiju određivati u različitim omjerima odnosno moraj</w:t>
            </w:r>
            <w:r w:rsidR="009C4844">
              <w:rPr>
                <w:rFonts w:ascii="Arial" w:hAnsi="Arial" w:cs="Arial"/>
                <w:bCs/>
                <w:sz w:val="20"/>
                <w:szCs w:val="20"/>
              </w:rPr>
              <w:t>u ostati izjednačene</w:t>
            </w:r>
          </w:p>
          <w:p w14:paraId="09530051" w14:textId="77777777" w:rsidR="00F77EE4" w:rsidRDefault="009C4844" w:rsidP="00D77DFF">
            <w:pPr>
              <w:pStyle w:val="Odlomakpopisa"/>
              <w:numPr>
                <w:ilvl w:val="0"/>
                <w:numId w:val="1"/>
              </w:numPr>
              <w:spacing w:beforeLines="60" w:before="144" w:afterLines="60" w:after="144" w:line="240" w:lineRule="auto"/>
              <w:rPr>
                <w:rFonts w:ascii="Arial" w:hAnsi="Arial" w:cs="Arial"/>
                <w:bCs/>
                <w:sz w:val="20"/>
                <w:szCs w:val="20"/>
              </w:rPr>
            </w:pPr>
            <w:r>
              <w:rPr>
                <w:rFonts w:ascii="Arial" w:hAnsi="Arial" w:cs="Arial"/>
                <w:bCs/>
                <w:sz w:val="20"/>
                <w:szCs w:val="20"/>
              </w:rPr>
              <w:t xml:space="preserve">Primjedba na </w:t>
            </w:r>
            <w:r w:rsidR="00F77EE4">
              <w:rPr>
                <w:rFonts w:ascii="Arial" w:hAnsi="Arial" w:cs="Arial"/>
                <w:bCs/>
                <w:sz w:val="20"/>
                <w:szCs w:val="20"/>
              </w:rPr>
              <w:t xml:space="preserve">točku XII </w:t>
            </w:r>
          </w:p>
          <w:p w14:paraId="7484F33A" w14:textId="181F7187" w:rsidR="00D77DFF" w:rsidRPr="00D77DFF" w:rsidRDefault="00F77EE4" w:rsidP="00F77EE4">
            <w:pPr>
              <w:pStyle w:val="Odlomakpopisa"/>
              <w:spacing w:beforeLines="60" w:before="144" w:afterLines="60" w:after="144" w:line="240" w:lineRule="auto"/>
              <w:rPr>
                <w:rFonts w:ascii="Arial" w:hAnsi="Arial" w:cs="Arial"/>
                <w:bCs/>
                <w:sz w:val="20"/>
                <w:szCs w:val="20"/>
              </w:rPr>
            </w:pPr>
            <w:r>
              <w:rPr>
                <w:rFonts w:ascii="Arial" w:hAnsi="Arial" w:cs="Arial"/>
                <w:bCs/>
                <w:sz w:val="20"/>
                <w:szCs w:val="20"/>
              </w:rPr>
              <w:t xml:space="preserve">– brisati da je Odluka donesena istekom 30 dana od dana podnošenja te treba glasiti da je </w:t>
            </w:r>
            <w:r>
              <w:rPr>
                <w:rFonts w:ascii="Arial" w:hAnsi="Arial" w:cs="Arial"/>
                <w:bCs/>
                <w:sz w:val="20"/>
                <w:szCs w:val="20"/>
              </w:rPr>
              <w:lastRenderedPageBreak/>
              <w:t>Odluka donesena uz suglasnost JLS(navesti kojih)</w:t>
            </w:r>
            <w:r w:rsidR="00D77DFF">
              <w:rPr>
                <w:rFonts w:ascii="Arial" w:hAnsi="Arial" w:cs="Arial"/>
                <w:bCs/>
                <w:sz w:val="20"/>
                <w:szCs w:val="20"/>
              </w:rPr>
              <w:t xml:space="preserve"> </w:t>
            </w:r>
          </w:p>
          <w:p w14:paraId="1BF41C93" w14:textId="46783017" w:rsidR="00D77DFF" w:rsidRDefault="00D77DFF" w:rsidP="00D77DFF">
            <w:pPr>
              <w:spacing w:beforeLines="60" w:before="144" w:afterLines="60" w:after="144" w:line="240" w:lineRule="auto"/>
              <w:rPr>
                <w:rFonts w:ascii="Arial" w:hAnsi="Arial" w:cs="Arial"/>
                <w:bCs/>
                <w:sz w:val="20"/>
                <w:szCs w:val="20"/>
              </w:rPr>
            </w:pPr>
            <w:r>
              <w:rPr>
                <w:rFonts w:ascii="Arial" w:hAnsi="Arial" w:cs="Arial"/>
                <w:bCs/>
                <w:sz w:val="20"/>
                <w:szCs w:val="20"/>
              </w:rPr>
              <w:t xml:space="preserve">    </w:t>
            </w:r>
            <w:r w:rsidR="00F77EE4">
              <w:rPr>
                <w:rFonts w:ascii="Arial" w:hAnsi="Arial" w:cs="Arial"/>
                <w:bCs/>
                <w:sz w:val="20"/>
                <w:szCs w:val="20"/>
              </w:rPr>
              <w:t>-umjesto u službenom glasniku Grada Slatine (a što se i ne mora objaviti) treba staviti u oglasnom dijelu Službenog glasnika Grada Slatine.</w:t>
            </w:r>
          </w:p>
          <w:p w14:paraId="3B661837" w14:textId="5830D8B8" w:rsidR="00F77EE4" w:rsidRDefault="00F77EE4" w:rsidP="00D77DFF">
            <w:pPr>
              <w:spacing w:beforeLines="60" w:before="144" w:afterLines="60" w:after="144" w:line="240" w:lineRule="auto"/>
              <w:rPr>
                <w:rFonts w:ascii="Arial" w:hAnsi="Arial" w:cs="Arial"/>
                <w:bCs/>
                <w:sz w:val="20"/>
                <w:szCs w:val="20"/>
              </w:rPr>
            </w:pPr>
            <w:r>
              <w:rPr>
                <w:rFonts w:ascii="Arial" w:hAnsi="Arial" w:cs="Arial"/>
                <w:bCs/>
                <w:sz w:val="20"/>
                <w:szCs w:val="20"/>
              </w:rPr>
              <w:t xml:space="preserve">    5. Primjedba na točku XIII-umjesto određivanja točnog dana stupanja na snagu Odluke potrebno je navesti da Odluka stupa na snagu prvoga dana u kalendarskom mjesecu, koji neposredno slijedi; isteku osmog dana od dana objave u Službenom glasniku Virovitičko-podravske županije.</w:t>
            </w:r>
          </w:p>
          <w:p w14:paraId="35857782" w14:textId="77777777" w:rsidR="00F25783" w:rsidRDefault="00F25783" w:rsidP="00D77DFF">
            <w:pPr>
              <w:spacing w:beforeLines="60" w:before="144" w:afterLines="60" w:after="144" w:line="240" w:lineRule="auto"/>
              <w:rPr>
                <w:rFonts w:ascii="Arial" w:hAnsi="Arial" w:cs="Arial"/>
                <w:bCs/>
                <w:sz w:val="20"/>
                <w:szCs w:val="20"/>
              </w:rPr>
            </w:pPr>
          </w:p>
          <w:p w14:paraId="1A71E815" w14:textId="7FA97FB2" w:rsidR="008272EA" w:rsidRDefault="008272EA" w:rsidP="00F25783">
            <w:pPr>
              <w:pStyle w:val="Odlomakpopisa"/>
              <w:numPr>
                <w:ilvl w:val="0"/>
                <w:numId w:val="2"/>
              </w:numPr>
              <w:spacing w:beforeLines="60" w:before="144" w:afterLines="60" w:after="144" w:line="240" w:lineRule="auto"/>
              <w:rPr>
                <w:rFonts w:ascii="Arial" w:hAnsi="Arial" w:cs="Arial"/>
                <w:bCs/>
                <w:sz w:val="20"/>
                <w:szCs w:val="20"/>
              </w:rPr>
            </w:pPr>
            <w:r>
              <w:rPr>
                <w:rFonts w:ascii="Arial" w:hAnsi="Arial" w:cs="Arial"/>
                <w:bCs/>
                <w:sz w:val="20"/>
                <w:szCs w:val="20"/>
              </w:rPr>
              <w:t xml:space="preserve">Primjedba građana na količinu, a time i cijenu, </w:t>
            </w:r>
          </w:p>
          <w:p w14:paraId="7AA138B5" w14:textId="573B591F" w:rsidR="008272EA" w:rsidRDefault="008272EA" w:rsidP="008272EA">
            <w:pPr>
              <w:pStyle w:val="Odlomakpopisa"/>
              <w:spacing w:beforeLines="60" w:before="144" w:afterLines="60" w:after="144" w:line="240" w:lineRule="auto"/>
              <w:rPr>
                <w:rFonts w:ascii="Arial" w:hAnsi="Arial" w:cs="Arial"/>
                <w:bCs/>
                <w:sz w:val="20"/>
                <w:szCs w:val="20"/>
              </w:rPr>
            </w:pPr>
            <w:r>
              <w:rPr>
                <w:rFonts w:ascii="Arial" w:hAnsi="Arial" w:cs="Arial"/>
                <w:bCs/>
                <w:sz w:val="20"/>
                <w:szCs w:val="20"/>
              </w:rPr>
              <w:t>Vodne usluge skupljanja otpadnih voda (varijabilna) za kućanstva koja nisu priključena na vodne građevine već samo na odvodnju</w:t>
            </w:r>
          </w:p>
          <w:p w14:paraId="1A930808" w14:textId="25F7472A" w:rsidR="00F25783" w:rsidRPr="00F25783" w:rsidRDefault="00F25783" w:rsidP="00F25783">
            <w:pPr>
              <w:pStyle w:val="Odlomakpopisa"/>
              <w:numPr>
                <w:ilvl w:val="0"/>
                <w:numId w:val="2"/>
              </w:numPr>
              <w:spacing w:beforeLines="60" w:before="144" w:afterLines="60" w:after="144" w:line="240" w:lineRule="auto"/>
              <w:rPr>
                <w:rFonts w:ascii="Arial" w:hAnsi="Arial" w:cs="Arial"/>
                <w:bCs/>
                <w:sz w:val="20"/>
                <w:szCs w:val="20"/>
              </w:rPr>
            </w:pPr>
            <w:r w:rsidRPr="00F25783">
              <w:rPr>
                <w:rFonts w:ascii="Arial" w:hAnsi="Arial" w:cs="Arial"/>
                <w:bCs/>
                <w:sz w:val="20"/>
                <w:szCs w:val="20"/>
              </w:rPr>
              <w:t>Primjedba građana da nije određena cijena za socijalno ugrožene građane kod cijene vodne usluge crpljenja, odvoza i zbrinjavanja otpadnih voda iz individualnih sustava odvodnje</w:t>
            </w:r>
          </w:p>
          <w:p w14:paraId="7E03BE40" w14:textId="77777777" w:rsidR="00F77EE4" w:rsidRPr="00D77DFF" w:rsidRDefault="00F77EE4" w:rsidP="00D77DFF">
            <w:pPr>
              <w:spacing w:beforeLines="60" w:before="144" w:afterLines="60" w:after="144" w:line="240" w:lineRule="auto"/>
              <w:rPr>
                <w:rFonts w:ascii="Arial" w:hAnsi="Arial" w:cs="Arial"/>
                <w:bCs/>
                <w:sz w:val="20"/>
                <w:szCs w:val="20"/>
              </w:rPr>
            </w:pPr>
          </w:p>
          <w:p w14:paraId="7CF597F4" w14:textId="7910DC52" w:rsidR="00160CC8" w:rsidRPr="00E96086" w:rsidRDefault="00160CC8" w:rsidP="00E96086">
            <w:pPr>
              <w:spacing w:beforeLines="60" w:before="144" w:afterLines="60" w:after="144" w:line="240" w:lineRule="auto"/>
              <w:rPr>
                <w:rFonts w:ascii="Arial" w:hAnsi="Arial" w:cs="Arial"/>
                <w:bCs/>
                <w:sz w:val="20"/>
                <w:szCs w:val="20"/>
              </w:rPr>
            </w:pPr>
          </w:p>
        </w:tc>
      </w:tr>
      <w:tr w:rsidR="005B0986" w:rsidRPr="00E96086" w14:paraId="540AC297" w14:textId="77777777" w:rsidTr="00E96086">
        <w:tc>
          <w:tcPr>
            <w:tcW w:w="4077" w:type="dxa"/>
            <w:tcBorders>
              <w:top w:val="single" w:sz="4" w:space="0" w:color="365F91"/>
              <w:left w:val="single" w:sz="4" w:space="0" w:color="365F91"/>
              <w:bottom w:val="single" w:sz="4" w:space="0" w:color="365F91"/>
              <w:right w:val="single" w:sz="4" w:space="0" w:color="365F91"/>
            </w:tcBorders>
            <w:shd w:val="clear" w:color="auto" w:fill="auto"/>
            <w:vAlign w:val="center"/>
          </w:tcPr>
          <w:p w14:paraId="6AE6315B" w14:textId="77777777" w:rsidR="005B0986" w:rsidRPr="00E96086" w:rsidRDefault="005B0986" w:rsidP="00E96086">
            <w:pPr>
              <w:spacing w:beforeLines="60" w:before="144" w:afterLines="60" w:after="144" w:line="240" w:lineRule="auto"/>
              <w:rPr>
                <w:rFonts w:ascii="Arial" w:hAnsi="Arial" w:cs="Arial"/>
                <w:b/>
                <w:bCs/>
                <w:sz w:val="20"/>
                <w:szCs w:val="20"/>
              </w:rPr>
            </w:pPr>
            <w:r w:rsidRPr="00E96086">
              <w:rPr>
                <w:rFonts w:ascii="Arial" w:hAnsi="Arial" w:cs="Arial"/>
                <w:b/>
                <w:bCs/>
                <w:sz w:val="20"/>
                <w:szCs w:val="20"/>
              </w:rPr>
              <w:lastRenderedPageBreak/>
              <w:t xml:space="preserve">Pregled prihvaćenih i neprihvaćenih mišljenja i prijedloga s obrazloženjem razloga za neprihvaćanje </w:t>
            </w:r>
          </w:p>
        </w:tc>
        <w:tc>
          <w:tcPr>
            <w:tcW w:w="51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52DAB20" w14:textId="28B8E0B0" w:rsidR="005B0986" w:rsidRPr="00E96086" w:rsidRDefault="00F77EE4" w:rsidP="00E96086">
            <w:pPr>
              <w:spacing w:beforeLines="60" w:before="144" w:afterLines="60" w:after="144" w:line="240" w:lineRule="auto"/>
              <w:rPr>
                <w:rFonts w:ascii="Arial" w:hAnsi="Arial" w:cs="Arial"/>
                <w:bCs/>
                <w:sz w:val="20"/>
                <w:szCs w:val="20"/>
              </w:rPr>
            </w:pPr>
            <w:r>
              <w:rPr>
                <w:rFonts w:ascii="Arial" w:hAnsi="Arial" w:cs="Arial"/>
                <w:bCs/>
                <w:sz w:val="20"/>
                <w:szCs w:val="20"/>
              </w:rPr>
              <w:t>Primjedbe Vijeća za vodne usluge se prihvaćaju</w:t>
            </w:r>
            <w:r w:rsidR="00F25783">
              <w:rPr>
                <w:rFonts w:ascii="Arial" w:hAnsi="Arial" w:cs="Arial"/>
                <w:bCs/>
                <w:sz w:val="20"/>
                <w:szCs w:val="20"/>
              </w:rPr>
              <w:t xml:space="preserve"> kao i primjedb</w:t>
            </w:r>
            <w:r w:rsidR="00F277AE">
              <w:rPr>
                <w:rFonts w:ascii="Arial" w:hAnsi="Arial" w:cs="Arial"/>
                <w:bCs/>
                <w:sz w:val="20"/>
                <w:szCs w:val="20"/>
              </w:rPr>
              <w:t>e</w:t>
            </w:r>
            <w:r w:rsidR="00F25783">
              <w:rPr>
                <w:rFonts w:ascii="Arial" w:hAnsi="Arial" w:cs="Arial"/>
                <w:bCs/>
                <w:sz w:val="20"/>
                <w:szCs w:val="20"/>
              </w:rPr>
              <w:t xml:space="preserve"> građana</w:t>
            </w:r>
          </w:p>
        </w:tc>
      </w:tr>
      <w:tr w:rsidR="005B0986" w:rsidRPr="00E96086" w14:paraId="5ED58CA0" w14:textId="77777777" w:rsidTr="00E96086">
        <w:trPr>
          <w:trHeight w:val="785"/>
        </w:trPr>
        <w:tc>
          <w:tcPr>
            <w:tcW w:w="4077" w:type="dxa"/>
            <w:tcBorders>
              <w:top w:val="single" w:sz="4" w:space="0" w:color="365F91"/>
              <w:left w:val="single" w:sz="4" w:space="0" w:color="365F91"/>
              <w:bottom w:val="single" w:sz="4" w:space="0" w:color="365F91"/>
              <w:right w:val="single" w:sz="4" w:space="0" w:color="365F91"/>
            </w:tcBorders>
            <w:shd w:val="clear" w:color="auto" w:fill="auto"/>
            <w:vAlign w:val="center"/>
          </w:tcPr>
          <w:p w14:paraId="3BD7FE23" w14:textId="77777777" w:rsidR="005B0986" w:rsidRPr="00E96086" w:rsidRDefault="005B0986" w:rsidP="00E96086">
            <w:pPr>
              <w:spacing w:beforeLines="60" w:before="144" w:afterLines="60" w:after="144" w:line="240" w:lineRule="auto"/>
              <w:rPr>
                <w:rFonts w:ascii="Arial" w:hAnsi="Arial" w:cs="Arial"/>
                <w:b/>
                <w:bCs/>
                <w:sz w:val="20"/>
                <w:szCs w:val="20"/>
              </w:rPr>
            </w:pPr>
            <w:r w:rsidRPr="00E96086">
              <w:rPr>
                <w:rFonts w:ascii="Arial" w:hAnsi="Arial" w:cs="Arial"/>
                <w:b/>
                <w:bCs/>
                <w:sz w:val="20"/>
                <w:szCs w:val="20"/>
              </w:rPr>
              <w:t xml:space="preserve">Ostali oblici savjetovanja s javnošću </w:t>
            </w:r>
          </w:p>
        </w:tc>
        <w:tc>
          <w:tcPr>
            <w:tcW w:w="516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38134DC" w14:textId="31EFB734" w:rsidR="00710D22" w:rsidRPr="00E96086" w:rsidRDefault="009E5EEF" w:rsidP="00E96086">
            <w:pPr>
              <w:spacing w:beforeLines="60" w:before="144" w:afterLines="60" w:after="144" w:line="240" w:lineRule="auto"/>
              <w:rPr>
                <w:rFonts w:ascii="Arial" w:hAnsi="Arial" w:cs="Arial"/>
                <w:bCs/>
                <w:sz w:val="20"/>
                <w:szCs w:val="20"/>
              </w:rPr>
            </w:pPr>
            <w:r>
              <w:rPr>
                <w:rFonts w:ascii="Arial" w:hAnsi="Arial" w:cs="Arial"/>
                <w:bCs/>
                <w:sz w:val="20"/>
                <w:szCs w:val="20"/>
              </w:rPr>
              <w:t>Nije ih bilo.</w:t>
            </w:r>
          </w:p>
        </w:tc>
      </w:tr>
      <w:tr w:rsidR="005B0986" w:rsidRPr="00E96086" w14:paraId="076B2118" w14:textId="77777777" w:rsidTr="00E96086">
        <w:trPr>
          <w:trHeight w:val="777"/>
        </w:trPr>
        <w:tc>
          <w:tcPr>
            <w:tcW w:w="4077"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180B283" w14:textId="77777777" w:rsidR="005B0986" w:rsidRPr="00E96086" w:rsidRDefault="005B0986" w:rsidP="00E96086">
            <w:pPr>
              <w:spacing w:beforeLines="60" w:before="144" w:afterLines="60" w:after="144" w:line="240" w:lineRule="auto"/>
              <w:rPr>
                <w:rFonts w:ascii="Arial" w:hAnsi="Arial" w:cs="Arial"/>
                <w:b/>
                <w:bCs/>
                <w:sz w:val="20"/>
                <w:szCs w:val="20"/>
              </w:rPr>
            </w:pPr>
            <w:r w:rsidRPr="00E96086">
              <w:rPr>
                <w:rFonts w:ascii="Arial" w:hAnsi="Arial" w:cs="Arial"/>
                <w:b/>
                <w:bCs/>
                <w:sz w:val="20"/>
                <w:szCs w:val="20"/>
              </w:rPr>
              <w:t>Troškovi provedenog savjetovanja</w:t>
            </w:r>
          </w:p>
        </w:tc>
        <w:tc>
          <w:tcPr>
            <w:tcW w:w="5166" w:type="dxa"/>
            <w:tcBorders>
              <w:top w:val="single" w:sz="4" w:space="0" w:color="365F91"/>
              <w:left w:val="single" w:sz="4" w:space="0" w:color="365F91"/>
              <w:bottom w:val="single" w:sz="4" w:space="0" w:color="365F91"/>
              <w:right w:val="single" w:sz="4" w:space="0" w:color="365F91"/>
            </w:tcBorders>
            <w:shd w:val="clear" w:color="auto" w:fill="auto"/>
          </w:tcPr>
          <w:p w14:paraId="014D2402" w14:textId="3F3BFA92" w:rsidR="005B0986" w:rsidRPr="00E96086" w:rsidRDefault="009E5EEF" w:rsidP="00E96086">
            <w:pPr>
              <w:spacing w:beforeLines="60" w:before="144" w:afterLines="60" w:after="144" w:line="240" w:lineRule="auto"/>
              <w:jc w:val="both"/>
              <w:rPr>
                <w:rFonts w:ascii="Arial" w:hAnsi="Arial" w:cs="Arial"/>
                <w:bCs/>
                <w:sz w:val="20"/>
                <w:szCs w:val="20"/>
              </w:rPr>
            </w:pPr>
            <w:r>
              <w:rPr>
                <w:rFonts w:ascii="Arial" w:hAnsi="Arial" w:cs="Arial"/>
                <w:bCs/>
                <w:sz w:val="20"/>
                <w:szCs w:val="20"/>
              </w:rPr>
              <w:t>Provedba javnog savjetovanja nije iziskivala dodatne financijske troškove.</w:t>
            </w:r>
          </w:p>
        </w:tc>
      </w:tr>
    </w:tbl>
    <w:p w14:paraId="620EE27F" w14:textId="7B089245" w:rsidR="00E96086" w:rsidRDefault="00E96086">
      <w:pPr>
        <w:rPr>
          <w:rFonts w:ascii="Arial" w:eastAsia="Calibri" w:hAnsi="Arial" w:cs="Arial"/>
          <w:b/>
          <w:bCs/>
          <w:sz w:val="20"/>
          <w:szCs w:val="20"/>
          <w:lang w:eastAsia="en-US"/>
        </w:rPr>
      </w:pPr>
      <w:bookmarkStart w:id="0" w:name="_Toc468978618"/>
    </w:p>
    <w:p w14:paraId="64ECFE65" w14:textId="5C7D9545" w:rsidR="00E738EC" w:rsidRPr="00E96086" w:rsidRDefault="00E738EC" w:rsidP="00E738EC">
      <w:pPr>
        <w:rPr>
          <w:rFonts w:ascii="Arial" w:eastAsia="Calibri" w:hAnsi="Arial" w:cs="Arial"/>
          <w:b/>
          <w:bCs/>
          <w:sz w:val="20"/>
          <w:szCs w:val="20"/>
          <w:lang w:eastAsia="en-US"/>
        </w:rPr>
      </w:pPr>
      <w:r w:rsidRPr="00E96086">
        <w:rPr>
          <w:rFonts w:ascii="Arial" w:eastAsia="Calibri" w:hAnsi="Arial" w:cs="Arial"/>
          <w:b/>
          <w:bCs/>
          <w:sz w:val="20"/>
          <w:szCs w:val="20"/>
          <w:lang w:eastAsia="en-US"/>
        </w:rPr>
        <w:t>Prilog 1. Pregled prihvaćenih i neprihvaćenih primjedbi</w:t>
      </w:r>
      <w:bookmarkEnd w:id="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984"/>
        <w:gridCol w:w="3969"/>
        <w:gridCol w:w="1276"/>
      </w:tblGrid>
      <w:tr w:rsidR="00E738EC" w:rsidRPr="00E96086" w14:paraId="6B8D8A60" w14:textId="77777777" w:rsidTr="004F58BB">
        <w:tc>
          <w:tcPr>
            <w:tcW w:w="421" w:type="dxa"/>
            <w:shd w:val="clear" w:color="auto" w:fill="F2F2F2" w:themeFill="background1" w:themeFillShade="F2"/>
            <w:vAlign w:val="center"/>
          </w:tcPr>
          <w:p w14:paraId="72E85FA3" w14:textId="4AEFD0BC" w:rsidR="00E738EC" w:rsidRPr="00E96086" w:rsidRDefault="004F58BB" w:rsidP="00E738EC">
            <w:pPr>
              <w:spacing w:after="120" w:line="240" w:lineRule="auto"/>
              <w:jc w:val="center"/>
              <w:rPr>
                <w:rFonts w:ascii="Arial" w:hAnsi="Arial" w:cs="Arial"/>
                <w:b/>
                <w:sz w:val="20"/>
                <w:szCs w:val="20"/>
              </w:rPr>
            </w:pPr>
            <w:proofErr w:type="spellStart"/>
            <w:r>
              <w:rPr>
                <w:rFonts w:ascii="Arial" w:hAnsi="Arial" w:cs="Arial"/>
                <w:b/>
                <w:sz w:val="20"/>
                <w:szCs w:val="20"/>
              </w:rPr>
              <w:t>R.b</w:t>
            </w:r>
            <w:proofErr w:type="spellEnd"/>
            <w:r>
              <w:rPr>
                <w:rFonts w:ascii="Arial" w:hAnsi="Arial" w:cs="Arial"/>
                <w:b/>
                <w:sz w:val="20"/>
                <w:szCs w:val="20"/>
              </w:rPr>
              <w:t>.</w:t>
            </w:r>
          </w:p>
        </w:tc>
        <w:tc>
          <w:tcPr>
            <w:tcW w:w="1701" w:type="dxa"/>
            <w:shd w:val="clear" w:color="auto" w:fill="F2F2F2" w:themeFill="background1" w:themeFillShade="F2"/>
            <w:vAlign w:val="center"/>
          </w:tcPr>
          <w:p w14:paraId="57A9EACC" w14:textId="77777777" w:rsidR="00E738EC" w:rsidRPr="00E96086" w:rsidRDefault="00E738EC" w:rsidP="00E738EC">
            <w:pPr>
              <w:spacing w:after="120" w:line="240" w:lineRule="auto"/>
              <w:jc w:val="center"/>
              <w:rPr>
                <w:rFonts w:ascii="Arial" w:hAnsi="Arial" w:cs="Arial"/>
                <w:b/>
                <w:sz w:val="20"/>
                <w:szCs w:val="20"/>
              </w:rPr>
            </w:pPr>
            <w:r w:rsidRPr="00E96086">
              <w:rPr>
                <w:rFonts w:ascii="Arial" w:hAnsi="Arial" w:cs="Arial"/>
                <w:b/>
                <w:sz w:val="20"/>
                <w:szCs w:val="20"/>
              </w:rPr>
              <w:t>Sudionik savjetovanja (ime i prezime pojedinca, naziv organizacije)</w:t>
            </w:r>
          </w:p>
        </w:tc>
        <w:tc>
          <w:tcPr>
            <w:tcW w:w="1984" w:type="dxa"/>
            <w:shd w:val="clear" w:color="auto" w:fill="F2F2F2" w:themeFill="background1" w:themeFillShade="F2"/>
            <w:vAlign w:val="center"/>
          </w:tcPr>
          <w:p w14:paraId="2CA1743E" w14:textId="77777777" w:rsidR="00E738EC" w:rsidRPr="00E96086" w:rsidRDefault="00E738EC" w:rsidP="00E738EC">
            <w:pPr>
              <w:spacing w:after="120" w:line="240" w:lineRule="auto"/>
              <w:jc w:val="center"/>
              <w:rPr>
                <w:rFonts w:ascii="Arial" w:hAnsi="Arial" w:cs="Arial"/>
                <w:b/>
                <w:sz w:val="20"/>
                <w:szCs w:val="20"/>
              </w:rPr>
            </w:pPr>
            <w:r w:rsidRPr="00E96086">
              <w:rPr>
                <w:rFonts w:ascii="Arial" w:hAnsi="Arial" w:cs="Arial"/>
                <w:b/>
                <w:sz w:val="20"/>
                <w:szCs w:val="20"/>
              </w:rPr>
              <w:t>Članak ili drugi dio nacrta na koji se odnosi prijedlog ili mišljenje</w:t>
            </w:r>
          </w:p>
        </w:tc>
        <w:tc>
          <w:tcPr>
            <w:tcW w:w="3969" w:type="dxa"/>
            <w:shd w:val="clear" w:color="auto" w:fill="F2F2F2" w:themeFill="background1" w:themeFillShade="F2"/>
            <w:vAlign w:val="center"/>
          </w:tcPr>
          <w:p w14:paraId="48F54A16" w14:textId="77777777" w:rsidR="00E738EC" w:rsidRPr="00E96086" w:rsidRDefault="00E738EC" w:rsidP="00E738EC">
            <w:pPr>
              <w:spacing w:after="120" w:line="240" w:lineRule="auto"/>
              <w:jc w:val="center"/>
              <w:rPr>
                <w:rFonts w:ascii="Arial" w:hAnsi="Arial" w:cs="Arial"/>
                <w:b/>
                <w:sz w:val="20"/>
                <w:szCs w:val="20"/>
              </w:rPr>
            </w:pPr>
            <w:r w:rsidRPr="00E96086">
              <w:rPr>
                <w:rFonts w:ascii="Arial" w:hAnsi="Arial" w:cs="Arial"/>
                <w:b/>
                <w:sz w:val="20"/>
                <w:szCs w:val="20"/>
              </w:rPr>
              <w:t>Tekst zaprimljenog prijedloga ili mišljenja</w:t>
            </w:r>
          </w:p>
        </w:tc>
        <w:tc>
          <w:tcPr>
            <w:tcW w:w="1276" w:type="dxa"/>
            <w:shd w:val="clear" w:color="auto" w:fill="F2F2F2" w:themeFill="background1" w:themeFillShade="F2"/>
            <w:vAlign w:val="center"/>
          </w:tcPr>
          <w:p w14:paraId="0528067D" w14:textId="77777777" w:rsidR="00E738EC" w:rsidRPr="00E96086" w:rsidRDefault="00E738EC" w:rsidP="001907B5">
            <w:pPr>
              <w:spacing w:after="120" w:line="240" w:lineRule="auto"/>
              <w:jc w:val="center"/>
              <w:rPr>
                <w:rFonts w:ascii="Arial" w:hAnsi="Arial" w:cs="Arial"/>
                <w:b/>
                <w:sz w:val="20"/>
                <w:szCs w:val="20"/>
              </w:rPr>
            </w:pPr>
            <w:r w:rsidRPr="00E96086">
              <w:rPr>
                <w:rFonts w:ascii="Arial" w:hAnsi="Arial" w:cs="Arial"/>
                <w:b/>
                <w:sz w:val="20"/>
                <w:szCs w:val="20"/>
              </w:rPr>
              <w:t xml:space="preserve">Status prijedloga ili mišljenja (prihvaćanje/neprihvaćanje s  obrazloženjem) </w:t>
            </w:r>
          </w:p>
        </w:tc>
      </w:tr>
      <w:tr w:rsidR="00E738EC" w:rsidRPr="00E96086" w14:paraId="44370F6A" w14:textId="77777777" w:rsidTr="004F58BB">
        <w:trPr>
          <w:trHeight w:val="567"/>
        </w:trPr>
        <w:tc>
          <w:tcPr>
            <w:tcW w:w="421" w:type="dxa"/>
          </w:tcPr>
          <w:p w14:paraId="30028215" w14:textId="360475AD" w:rsidR="00E738EC" w:rsidRPr="00E96086" w:rsidRDefault="004827A1" w:rsidP="00E738EC">
            <w:pPr>
              <w:spacing w:after="120" w:line="240" w:lineRule="auto"/>
              <w:jc w:val="both"/>
              <w:rPr>
                <w:rFonts w:ascii="Arial" w:hAnsi="Arial" w:cs="Arial"/>
                <w:sz w:val="20"/>
                <w:szCs w:val="20"/>
              </w:rPr>
            </w:pPr>
            <w:r>
              <w:rPr>
                <w:rFonts w:ascii="Arial" w:hAnsi="Arial" w:cs="Arial"/>
                <w:sz w:val="20"/>
                <w:szCs w:val="20"/>
              </w:rPr>
              <w:t>1.</w:t>
            </w:r>
          </w:p>
        </w:tc>
        <w:tc>
          <w:tcPr>
            <w:tcW w:w="1701" w:type="dxa"/>
          </w:tcPr>
          <w:p w14:paraId="6B45272F" w14:textId="73D0245B" w:rsidR="00E738EC" w:rsidRPr="00E96086" w:rsidRDefault="004827A1" w:rsidP="00E738EC">
            <w:pPr>
              <w:spacing w:after="120" w:line="240" w:lineRule="auto"/>
              <w:jc w:val="both"/>
              <w:rPr>
                <w:rFonts w:ascii="Arial" w:hAnsi="Arial" w:cs="Arial"/>
                <w:sz w:val="20"/>
                <w:szCs w:val="20"/>
              </w:rPr>
            </w:pPr>
            <w:r>
              <w:rPr>
                <w:rFonts w:ascii="Arial" w:hAnsi="Arial" w:cs="Arial"/>
                <w:sz w:val="20"/>
                <w:szCs w:val="20"/>
              </w:rPr>
              <w:t>Vijeće za vodne usluge</w:t>
            </w:r>
          </w:p>
        </w:tc>
        <w:tc>
          <w:tcPr>
            <w:tcW w:w="1984" w:type="dxa"/>
          </w:tcPr>
          <w:p w14:paraId="56FD21D2" w14:textId="257CE6BD" w:rsidR="00E738EC" w:rsidRPr="00E96086" w:rsidRDefault="004827A1" w:rsidP="00E738EC">
            <w:pPr>
              <w:spacing w:after="120" w:line="240" w:lineRule="auto"/>
              <w:jc w:val="both"/>
              <w:rPr>
                <w:rFonts w:ascii="Arial" w:hAnsi="Arial" w:cs="Arial"/>
                <w:sz w:val="20"/>
                <w:szCs w:val="20"/>
              </w:rPr>
            </w:pPr>
            <w:r>
              <w:rPr>
                <w:rFonts w:ascii="Arial" w:hAnsi="Arial" w:cs="Arial"/>
                <w:sz w:val="20"/>
                <w:szCs w:val="20"/>
              </w:rPr>
              <w:t>Članak 23. i članak 24. Zakona o vodnim uslugama (NN 66/19) i naziv akta</w:t>
            </w:r>
          </w:p>
        </w:tc>
        <w:tc>
          <w:tcPr>
            <w:tcW w:w="3969" w:type="dxa"/>
          </w:tcPr>
          <w:p w14:paraId="480756EC" w14:textId="4F590298" w:rsidR="00E738EC" w:rsidRPr="00E96086" w:rsidRDefault="004827A1" w:rsidP="00E738EC">
            <w:pPr>
              <w:spacing w:after="120" w:line="240" w:lineRule="auto"/>
              <w:jc w:val="both"/>
              <w:rPr>
                <w:rFonts w:ascii="Arial" w:hAnsi="Arial" w:cs="Arial"/>
                <w:sz w:val="20"/>
                <w:szCs w:val="20"/>
              </w:rPr>
            </w:pPr>
            <w:r>
              <w:rPr>
                <w:rFonts w:ascii="Arial" w:hAnsi="Arial" w:cs="Arial"/>
                <w:sz w:val="20"/>
                <w:szCs w:val="20"/>
              </w:rPr>
              <w:t>Ispraviti preambulu i naziv općeg akta</w:t>
            </w:r>
          </w:p>
        </w:tc>
        <w:tc>
          <w:tcPr>
            <w:tcW w:w="1276" w:type="dxa"/>
          </w:tcPr>
          <w:p w14:paraId="5C9E6935" w14:textId="3C5E5CE4" w:rsidR="00E738EC" w:rsidRPr="00E96086" w:rsidRDefault="004827A1" w:rsidP="00E738EC">
            <w:pPr>
              <w:spacing w:after="120" w:line="240" w:lineRule="auto"/>
              <w:jc w:val="both"/>
              <w:rPr>
                <w:rFonts w:ascii="Arial" w:hAnsi="Arial" w:cs="Arial"/>
                <w:sz w:val="20"/>
                <w:szCs w:val="20"/>
              </w:rPr>
            </w:pPr>
            <w:r>
              <w:rPr>
                <w:rFonts w:ascii="Arial" w:hAnsi="Arial" w:cs="Arial"/>
                <w:sz w:val="20"/>
                <w:szCs w:val="20"/>
              </w:rPr>
              <w:t>Prihvaća se</w:t>
            </w:r>
          </w:p>
        </w:tc>
      </w:tr>
      <w:tr w:rsidR="004F58BB" w:rsidRPr="00E96086" w14:paraId="4CA09B06" w14:textId="77777777" w:rsidTr="004F58BB">
        <w:trPr>
          <w:trHeight w:val="567"/>
        </w:trPr>
        <w:tc>
          <w:tcPr>
            <w:tcW w:w="421" w:type="dxa"/>
          </w:tcPr>
          <w:p w14:paraId="0F572456" w14:textId="4D297664" w:rsidR="004F58BB" w:rsidRPr="00E96086" w:rsidRDefault="004F58BB" w:rsidP="004F58BB">
            <w:pPr>
              <w:spacing w:after="120" w:line="240" w:lineRule="auto"/>
              <w:jc w:val="both"/>
              <w:rPr>
                <w:rFonts w:ascii="Arial" w:hAnsi="Arial" w:cs="Arial"/>
                <w:sz w:val="20"/>
                <w:szCs w:val="20"/>
              </w:rPr>
            </w:pPr>
            <w:r>
              <w:rPr>
                <w:rFonts w:ascii="Arial" w:hAnsi="Arial" w:cs="Arial"/>
                <w:sz w:val="20"/>
                <w:szCs w:val="20"/>
              </w:rPr>
              <w:t xml:space="preserve">2. </w:t>
            </w:r>
          </w:p>
        </w:tc>
        <w:tc>
          <w:tcPr>
            <w:tcW w:w="1701" w:type="dxa"/>
          </w:tcPr>
          <w:p w14:paraId="1D19AE04" w14:textId="10AFBE68" w:rsidR="004F58BB" w:rsidRPr="00E96086" w:rsidRDefault="004F58BB" w:rsidP="004F58BB">
            <w:pPr>
              <w:spacing w:after="120" w:line="240" w:lineRule="auto"/>
              <w:jc w:val="both"/>
              <w:rPr>
                <w:rFonts w:ascii="Arial" w:hAnsi="Arial" w:cs="Arial"/>
                <w:sz w:val="20"/>
                <w:szCs w:val="20"/>
              </w:rPr>
            </w:pPr>
            <w:r>
              <w:rPr>
                <w:rFonts w:ascii="Arial" w:hAnsi="Arial" w:cs="Arial"/>
                <w:sz w:val="20"/>
                <w:szCs w:val="20"/>
              </w:rPr>
              <w:t>Vijeće za vodne usluge</w:t>
            </w:r>
          </w:p>
        </w:tc>
        <w:tc>
          <w:tcPr>
            <w:tcW w:w="1984" w:type="dxa"/>
          </w:tcPr>
          <w:p w14:paraId="7D35A0D2" w14:textId="7E08F02D" w:rsidR="004F58BB" w:rsidRPr="00E96086" w:rsidRDefault="004F58BB" w:rsidP="004F58BB">
            <w:pPr>
              <w:spacing w:after="120" w:line="240" w:lineRule="auto"/>
              <w:jc w:val="both"/>
              <w:rPr>
                <w:rFonts w:ascii="Arial" w:hAnsi="Arial" w:cs="Arial"/>
                <w:sz w:val="20"/>
                <w:szCs w:val="20"/>
              </w:rPr>
            </w:pPr>
            <w:r>
              <w:rPr>
                <w:rFonts w:ascii="Arial" w:hAnsi="Arial" w:cs="Arial"/>
                <w:sz w:val="20"/>
                <w:szCs w:val="20"/>
              </w:rPr>
              <w:t>Točke III., IV., V., i VI. Odluke</w:t>
            </w:r>
          </w:p>
        </w:tc>
        <w:tc>
          <w:tcPr>
            <w:tcW w:w="3969" w:type="dxa"/>
          </w:tcPr>
          <w:p w14:paraId="0D67A289" w14:textId="6017F6EB" w:rsidR="004F58BB" w:rsidRPr="00E96086" w:rsidRDefault="004F58BB" w:rsidP="004F58BB">
            <w:pPr>
              <w:spacing w:after="120" w:line="240" w:lineRule="auto"/>
              <w:jc w:val="both"/>
              <w:rPr>
                <w:rFonts w:ascii="Arial" w:hAnsi="Arial" w:cs="Arial"/>
                <w:sz w:val="20"/>
                <w:szCs w:val="20"/>
              </w:rPr>
            </w:pPr>
            <w:r>
              <w:rPr>
                <w:rFonts w:ascii="Arial" w:hAnsi="Arial" w:cs="Arial"/>
                <w:sz w:val="20"/>
                <w:szCs w:val="20"/>
              </w:rPr>
              <w:t>Iz odrednice uz cijene vodnih usluga brisati termin „osnovna“, u bilo kojem padežu</w:t>
            </w:r>
          </w:p>
        </w:tc>
        <w:tc>
          <w:tcPr>
            <w:tcW w:w="1276" w:type="dxa"/>
          </w:tcPr>
          <w:p w14:paraId="5BD31A30" w14:textId="4EAA119A" w:rsidR="004F58BB" w:rsidRPr="00E96086" w:rsidRDefault="004F58BB" w:rsidP="004F58BB">
            <w:pPr>
              <w:spacing w:after="120" w:line="240" w:lineRule="auto"/>
              <w:jc w:val="both"/>
              <w:rPr>
                <w:rFonts w:ascii="Arial" w:hAnsi="Arial" w:cs="Arial"/>
                <w:sz w:val="20"/>
                <w:szCs w:val="20"/>
              </w:rPr>
            </w:pPr>
            <w:r>
              <w:rPr>
                <w:rFonts w:ascii="Arial" w:hAnsi="Arial" w:cs="Arial"/>
                <w:sz w:val="20"/>
                <w:szCs w:val="20"/>
              </w:rPr>
              <w:t>Prihvaća se</w:t>
            </w:r>
          </w:p>
        </w:tc>
      </w:tr>
      <w:tr w:rsidR="004F58BB" w:rsidRPr="00E96086" w14:paraId="1659F194" w14:textId="77777777" w:rsidTr="004F58BB">
        <w:trPr>
          <w:trHeight w:val="567"/>
        </w:trPr>
        <w:tc>
          <w:tcPr>
            <w:tcW w:w="421" w:type="dxa"/>
          </w:tcPr>
          <w:p w14:paraId="48680B1F" w14:textId="6516F640" w:rsidR="004F58BB" w:rsidRPr="00E96086" w:rsidRDefault="004F58BB" w:rsidP="004F58BB">
            <w:pPr>
              <w:spacing w:after="120" w:line="240" w:lineRule="auto"/>
              <w:jc w:val="both"/>
              <w:rPr>
                <w:rFonts w:ascii="Arial" w:hAnsi="Arial" w:cs="Arial"/>
                <w:sz w:val="20"/>
                <w:szCs w:val="20"/>
              </w:rPr>
            </w:pPr>
            <w:r>
              <w:rPr>
                <w:rFonts w:ascii="Arial" w:hAnsi="Arial" w:cs="Arial"/>
                <w:sz w:val="20"/>
                <w:szCs w:val="20"/>
              </w:rPr>
              <w:t xml:space="preserve">3. </w:t>
            </w:r>
          </w:p>
        </w:tc>
        <w:tc>
          <w:tcPr>
            <w:tcW w:w="1701" w:type="dxa"/>
          </w:tcPr>
          <w:p w14:paraId="5A7F8B36" w14:textId="72EF0D66" w:rsidR="004F58BB" w:rsidRPr="00E96086" w:rsidRDefault="004F58BB" w:rsidP="004F58BB">
            <w:pPr>
              <w:spacing w:after="120" w:line="240" w:lineRule="auto"/>
              <w:jc w:val="both"/>
              <w:rPr>
                <w:rFonts w:ascii="Arial" w:hAnsi="Arial" w:cs="Arial"/>
                <w:sz w:val="20"/>
                <w:szCs w:val="20"/>
              </w:rPr>
            </w:pPr>
            <w:r>
              <w:rPr>
                <w:rFonts w:ascii="Arial" w:hAnsi="Arial" w:cs="Arial"/>
                <w:sz w:val="20"/>
                <w:szCs w:val="20"/>
              </w:rPr>
              <w:t>Vijeće za vodne usluge</w:t>
            </w:r>
          </w:p>
        </w:tc>
        <w:tc>
          <w:tcPr>
            <w:tcW w:w="1984" w:type="dxa"/>
          </w:tcPr>
          <w:p w14:paraId="6A0C867C" w14:textId="223CDB78" w:rsidR="004F58BB" w:rsidRPr="00E96086" w:rsidRDefault="004F58BB" w:rsidP="004F58BB">
            <w:pPr>
              <w:spacing w:after="120" w:line="240" w:lineRule="auto"/>
              <w:jc w:val="both"/>
              <w:rPr>
                <w:rFonts w:ascii="Arial" w:hAnsi="Arial" w:cs="Arial"/>
                <w:sz w:val="20"/>
                <w:szCs w:val="20"/>
              </w:rPr>
            </w:pPr>
            <w:r>
              <w:rPr>
                <w:rFonts w:ascii="Arial" w:hAnsi="Arial" w:cs="Arial"/>
                <w:sz w:val="20"/>
                <w:szCs w:val="20"/>
              </w:rPr>
              <w:t>Točke IV., i VI.</w:t>
            </w:r>
          </w:p>
        </w:tc>
        <w:tc>
          <w:tcPr>
            <w:tcW w:w="3969" w:type="dxa"/>
          </w:tcPr>
          <w:p w14:paraId="26BF9283" w14:textId="77777777" w:rsidR="004F58BB" w:rsidRPr="004F58BB" w:rsidRDefault="004F58BB" w:rsidP="004F58BB">
            <w:pPr>
              <w:spacing w:after="120" w:line="240" w:lineRule="auto"/>
              <w:jc w:val="both"/>
              <w:rPr>
                <w:rFonts w:ascii="Arial" w:hAnsi="Arial" w:cs="Arial"/>
                <w:sz w:val="16"/>
                <w:szCs w:val="16"/>
              </w:rPr>
            </w:pPr>
            <w:r w:rsidRPr="004F58BB">
              <w:rPr>
                <w:rFonts w:ascii="Arial" w:hAnsi="Arial" w:cs="Arial"/>
                <w:sz w:val="16"/>
                <w:szCs w:val="16"/>
              </w:rPr>
              <w:t>U točki IV. tarifirali ste kategoriju korisnika koji nisu kućanstva, kako slijedi:</w:t>
            </w:r>
          </w:p>
          <w:p w14:paraId="1E646AD5" w14:textId="77777777" w:rsidR="004F58BB" w:rsidRPr="004F58BB" w:rsidRDefault="004F58BB" w:rsidP="004F58BB">
            <w:pPr>
              <w:spacing w:after="120" w:line="240" w:lineRule="auto"/>
              <w:jc w:val="both"/>
              <w:rPr>
                <w:rFonts w:ascii="Arial" w:hAnsi="Arial" w:cs="Arial"/>
                <w:sz w:val="16"/>
                <w:szCs w:val="16"/>
              </w:rPr>
            </w:pPr>
          </w:p>
          <w:p w14:paraId="0D632C8C" w14:textId="77777777" w:rsidR="004F58BB" w:rsidRPr="004F58BB" w:rsidRDefault="004F58BB" w:rsidP="004F58BB">
            <w:pPr>
              <w:spacing w:after="120" w:line="240" w:lineRule="auto"/>
              <w:jc w:val="both"/>
              <w:rPr>
                <w:rFonts w:ascii="Arial" w:hAnsi="Arial" w:cs="Arial"/>
                <w:sz w:val="16"/>
                <w:szCs w:val="16"/>
              </w:rPr>
            </w:pPr>
            <w:r w:rsidRPr="004F58BB">
              <w:rPr>
                <w:rFonts w:ascii="Arial" w:hAnsi="Arial" w:cs="Arial"/>
                <w:sz w:val="16"/>
                <w:szCs w:val="16"/>
              </w:rPr>
              <w:t xml:space="preserve">3. Osnovna cijena vodne usluge javne vodoopskrbe (varijabilna)………….  1,31 </w:t>
            </w:r>
            <w:proofErr w:type="spellStart"/>
            <w:r w:rsidRPr="004F58BB">
              <w:rPr>
                <w:rFonts w:ascii="Arial" w:hAnsi="Arial" w:cs="Arial"/>
                <w:sz w:val="16"/>
                <w:szCs w:val="16"/>
              </w:rPr>
              <w:t>eur</w:t>
            </w:r>
            <w:proofErr w:type="spellEnd"/>
            <w:r w:rsidRPr="004F58BB">
              <w:rPr>
                <w:rFonts w:ascii="Arial" w:hAnsi="Arial" w:cs="Arial"/>
                <w:sz w:val="16"/>
                <w:szCs w:val="16"/>
              </w:rPr>
              <w:t xml:space="preserve">/m3 </w:t>
            </w:r>
          </w:p>
          <w:p w14:paraId="30B0AF0F" w14:textId="77777777" w:rsidR="004F58BB" w:rsidRPr="004F58BB" w:rsidRDefault="004F58BB" w:rsidP="004F58BB">
            <w:pPr>
              <w:spacing w:after="120" w:line="240" w:lineRule="auto"/>
              <w:jc w:val="both"/>
              <w:rPr>
                <w:rFonts w:ascii="Arial" w:hAnsi="Arial" w:cs="Arial"/>
                <w:sz w:val="16"/>
                <w:szCs w:val="16"/>
              </w:rPr>
            </w:pPr>
            <w:r w:rsidRPr="004F58BB">
              <w:rPr>
                <w:rFonts w:ascii="Arial" w:hAnsi="Arial" w:cs="Arial"/>
                <w:sz w:val="16"/>
                <w:szCs w:val="16"/>
              </w:rPr>
              <w:t xml:space="preserve">4. Osnovna cijena vodne usluge skupljanja otpadnih voda (varijabilna) …..   0,83 </w:t>
            </w:r>
            <w:proofErr w:type="spellStart"/>
            <w:r w:rsidRPr="004F58BB">
              <w:rPr>
                <w:rFonts w:ascii="Arial" w:hAnsi="Arial" w:cs="Arial"/>
                <w:sz w:val="16"/>
                <w:szCs w:val="16"/>
              </w:rPr>
              <w:t>eur</w:t>
            </w:r>
            <w:proofErr w:type="spellEnd"/>
            <w:r w:rsidRPr="004F58BB">
              <w:rPr>
                <w:rFonts w:ascii="Arial" w:hAnsi="Arial" w:cs="Arial"/>
                <w:sz w:val="16"/>
                <w:szCs w:val="16"/>
              </w:rPr>
              <w:t>/m3</w:t>
            </w:r>
          </w:p>
          <w:p w14:paraId="05388EC5" w14:textId="77777777" w:rsidR="004F58BB" w:rsidRPr="004F58BB" w:rsidRDefault="004F58BB" w:rsidP="004F58BB">
            <w:pPr>
              <w:spacing w:after="120" w:line="240" w:lineRule="auto"/>
              <w:jc w:val="both"/>
              <w:rPr>
                <w:rFonts w:ascii="Arial" w:hAnsi="Arial" w:cs="Arial"/>
                <w:sz w:val="16"/>
                <w:szCs w:val="16"/>
              </w:rPr>
            </w:pPr>
          </w:p>
          <w:p w14:paraId="65C9D782" w14:textId="77777777" w:rsidR="004F58BB" w:rsidRPr="004F58BB" w:rsidRDefault="004F58BB" w:rsidP="004F58BB">
            <w:pPr>
              <w:spacing w:after="120" w:line="240" w:lineRule="auto"/>
              <w:jc w:val="both"/>
              <w:rPr>
                <w:rFonts w:ascii="Arial" w:hAnsi="Arial" w:cs="Arial"/>
                <w:sz w:val="16"/>
                <w:szCs w:val="16"/>
              </w:rPr>
            </w:pPr>
            <w:r w:rsidRPr="004F58BB">
              <w:rPr>
                <w:rFonts w:ascii="Arial" w:hAnsi="Arial" w:cs="Arial"/>
                <w:sz w:val="16"/>
                <w:szCs w:val="16"/>
              </w:rPr>
              <w:t xml:space="preserve">U tablici Nominalne i realne promjene tarifa uočavamo bitno narušavanje omjera između korisnika u kućanstvima i korisnika koji nisu kućanstva, kako slijedi:  </w:t>
            </w:r>
          </w:p>
          <w:p w14:paraId="0B5D7C0F" w14:textId="77777777" w:rsidR="004F58BB" w:rsidRPr="004F58BB" w:rsidRDefault="004F58BB" w:rsidP="004F58BB">
            <w:pPr>
              <w:spacing w:after="120" w:line="240" w:lineRule="auto"/>
              <w:jc w:val="both"/>
              <w:rPr>
                <w:rFonts w:ascii="Arial" w:hAnsi="Arial" w:cs="Arial"/>
                <w:sz w:val="16"/>
                <w:szCs w:val="16"/>
              </w:rPr>
            </w:pPr>
          </w:p>
          <w:p w14:paraId="1C6CF928" w14:textId="77777777" w:rsidR="004F58BB" w:rsidRPr="004F58BB" w:rsidRDefault="004F58BB" w:rsidP="004F58BB">
            <w:pPr>
              <w:spacing w:after="120" w:line="240" w:lineRule="auto"/>
              <w:jc w:val="both"/>
              <w:rPr>
                <w:rFonts w:ascii="Arial" w:hAnsi="Arial" w:cs="Arial"/>
                <w:sz w:val="16"/>
                <w:szCs w:val="16"/>
              </w:rPr>
            </w:pPr>
            <w:r w:rsidRPr="004F58BB">
              <w:rPr>
                <w:rFonts w:ascii="Arial" w:hAnsi="Arial" w:cs="Arial"/>
                <w:b/>
                <w:bCs/>
                <w:sz w:val="16"/>
                <w:szCs w:val="16"/>
              </w:rPr>
              <w:t xml:space="preserve">Kućanstva     </w:t>
            </w:r>
            <w:r w:rsidRPr="004F58BB">
              <w:rPr>
                <w:rFonts w:ascii="Arial" w:hAnsi="Arial" w:cs="Arial"/>
                <w:sz w:val="16"/>
                <w:szCs w:val="16"/>
              </w:rPr>
              <w:t>                                                                                   Nominalna promjena (%)</w:t>
            </w:r>
          </w:p>
          <w:p w14:paraId="1B9F45BB" w14:textId="77777777" w:rsidR="004F58BB" w:rsidRPr="004F58BB" w:rsidRDefault="004F58BB" w:rsidP="004F58BB">
            <w:pPr>
              <w:spacing w:after="120" w:line="240" w:lineRule="auto"/>
              <w:jc w:val="both"/>
              <w:rPr>
                <w:rFonts w:ascii="Arial" w:hAnsi="Arial" w:cs="Arial"/>
                <w:sz w:val="16"/>
                <w:szCs w:val="16"/>
              </w:rPr>
            </w:pPr>
            <w:r w:rsidRPr="004F58BB">
              <w:rPr>
                <w:rFonts w:ascii="Arial" w:hAnsi="Arial" w:cs="Arial"/>
                <w:sz w:val="16"/>
                <w:szCs w:val="16"/>
              </w:rPr>
              <w:t xml:space="preserve">javna vodoopskrba (var)                    m3       0,71     0,78     0,07     </w:t>
            </w:r>
            <w:r w:rsidRPr="004F58BB">
              <w:rPr>
                <w:rFonts w:ascii="Arial" w:hAnsi="Arial" w:cs="Arial"/>
                <w:b/>
                <w:bCs/>
                <w:sz w:val="16"/>
                <w:szCs w:val="16"/>
              </w:rPr>
              <w:t>9,86</w:t>
            </w:r>
          </w:p>
          <w:p w14:paraId="4842D460" w14:textId="77777777" w:rsidR="004F58BB" w:rsidRPr="004F58BB" w:rsidRDefault="004F58BB" w:rsidP="004F58BB">
            <w:pPr>
              <w:spacing w:after="120" w:line="240" w:lineRule="auto"/>
              <w:jc w:val="both"/>
              <w:rPr>
                <w:rFonts w:ascii="Arial" w:hAnsi="Arial" w:cs="Arial"/>
                <w:b/>
                <w:bCs/>
                <w:sz w:val="16"/>
                <w:szCs w:val="16"/>
              </w:rPr>
            </w:pPr>
            <w:r w:rsidRPr="004F58BB">
              <w:rPr>
                <w:rFonts w:ascii="Arial" w:hAnsi="Arial" w:cs="Arial"/>
                <w:sz w:val="16"/>
                <w:szCs w:val="16"/>
              </w:rPr>
              <w:t xml:space="preserve">skupljanje otpadnih voda (var.)         m3       0,34     0,51     0,17     </w:t>
            </w:r>
            <w:r w:rsidRPr="004F58BB">
              <w:rPr>
                <w:rFonts w:ascii="Arial" w:hAnsi="Arial" w:cs="Arial"/>
                <w:b/>
                <w:bCs/>
                <w:sz w:val="16"/>
                <w:szCs w:val="16"/>
              </w:rPr>
              <w:t>50,00</w:t>
            </w:r>
          </w:p>
          <w:p w14:paraId="46DA3E9E" w14:textId="77777777" w:rsidR="004F58BB" w:rsidRPr="004F58BB" w:rsidRDefault="004F58BB" w:rsidP="004F58BB">
            <w:pPr>
              <w:spacing w:after="120" w:line="240" w:lineRule="auto"/>
              <w:jc w:val="both"/>
              <w:rPr>
                <w:rFonts w:ascii="Arial" w:hAnsi="Arial" w:cs="Arial"/>
                <w:sz w:val="16"/>
                <w:szCs w:val="16"/>
              </w:rPr>
            </w:pPr>
          </w:p>
          <w:p w14:paraId="3DA101C6" w14:textId="77777777" w:rsidR="004F58BB" w:rsidRPr="004F58BB" w:rsidRDefault="004F58BB" w:rsidP="004F58BB">
            <w:pPr>
              <w:spacing w:after="120" w:line="240" w:lineRule="auto"/>
              <w:jc w:val="both"/>
              <w:rPr>
                <w:rFonts w:ascii="Arial" w:hAnsi="Arial" w:cs="Arial"/>
                <w:b/>
                <w:bCs/>
                <w:sz w:val="16"/>
                <w:szCs w:val="16"/>
              </w:rPr>
            </w:pPr>
            <w:r w:rsidRPr="004F58BB">
              <w:rPr>
                <w:rFonts w:ascii="Arial" w:hAnsi="Arial" w:cs="Arial"/>
                <w:b/>
                <w:bCs/>
                <w:sz w:val="16"/>
                <w:szCs w:val="16"/>
              </w:rPr>
              <w:t>Korisnici koji nisu kućanstva</w:t>
            </w:r>
          </w:p>
          <w:p w14:paraId="64CDE29E" w14:textId="77777777" w:rsidR="004F58BB" w:rsidRPr="004F58BB" w:rsidRDefault="004F58BB" w:rsidP="004F58BB">
            <w:pPr>
              <w:spacing w:after="120" w:line="240" w:lineRule="auto"/>
              <w:jc w:val="both"/>
              <w:rPr>
                <w:rFonts w:ascii="Arial" w:hAnsi="Arial" w:cs="Arial"/>
                <w:b/>
                <w:bCs/>
                <w:sz w:val="16"/>
                <w:szCs w:val="16"/>
              </w:rPr>
            </w:pPr>
            <w:r w:rsidRPr="004F58BB">
              <w:rPr>
                <w:rFonts w:ascii="Arial" w:hAnsi="Arial" w:cs="Arial"/>
                <w:sz w:val="16"/>
                <w:szCs w:val="16"/>
              </w:rPr>
              <w:t xml:space="preserve">javna vodoopskrba (var.)                   m3       0,71     1,31     0,60     </w:t>
            </w:r>
            <w:r w:rsidRPr="004F58BB">
              <w:rPr>
                <w:rFonts w:ascii="Arial" w:hAnsi="Arial" w:cs="Arial"/>
                <w:b/>
                <w:bCs/>
                <w:sz w:val="16"/>
                <w:szCs w:val="16"/>
              </w:rPr>
              <w:t>84,51</w:t>
            </w:r>
          </w:p>
          <w:p w14:paraId="497BB17F" w14:textId="77777777" w:rsidR="004F58BB" w:rsidRPr="004F58BB" w:rsidRDefault="004F58BB" w:rsidP="004F58BB">
            <w:pPr>
              <w:spacing w:after="120" w:line="240" w:lineRule="auto"/>
              <w:jc w:val="both"/>
              <w:rPr>
                <w:rFonts w:ascii="Arial" w:hAnsi="Arial" w:cs="Arial"/>
                <w:b/>
                <w:bCs/>
                <w:sz w:val="16"/>
                <w:szCs w:val="16"/>
              </w:rPr>
            </w:pPr>
            <w:r w:rsidRPr="004F58BB">
              <w:rPr>
                <w:rFonts w:ascii="Arial" w:hAnsi="Arial" w:cs="Arial"/>
                <w:sz w:val="16"/>
                <w:szCs w:val="16"/>
              </w:rPr>
              <w:t xml:space="preserve">skupljanje otpadnih voda                   m3       0,34     0,83     0,49     </w:t>
            </w:r>
            <w:r w:rsidRPr="004F58BB">
              <w:rPr>
                <w:rFonts w:ascii="Arial" w:hAnsi="Arial" w:cs="Arial"/>
                <w:b/>
                <w:bCs/>
                <w:sz w:val="16"/>
                <w:szCs w:val="16"/>
              </w:rPr>
              <w:t>144,12</w:t>
            </w:r>
          </w:p>
          <w:p w14:paraId="295536C5" w14:textId="77777777" w:rsidR="004F58BB" w:rsidRPr="004F58BB" w:rsidRDefault="004F58BB" w:rsidP="004F58BB">
            <w:pPr>
              <w:spacing w:after="120" w:line="240" w:lineRule="auto"/>
              <w:jc w:val="both"/>
              <w:rPr>
                <w:rFonts w:ascii="Arial" w:hAnsi="Arial" w:cs="Arial"/>
                <w:b/>
                <w:bCs/>
                <w:sz w:val="16"/>
                <w:szCs w:val="16"/>
              </w:rPr>
            </w:pPr>
          </w:p>
          <w:p w14:paraId="4522F10B" w14:textId="77777777" w:rsidR="004F58BB" w:rsidRPr="004F58BB" w:rsidRDefault="004F58BB" w:rsidP="004F58BB">
            <w:pPr>
              <w:spacing w:after="120" w:line="240" w:lineRule="auto"/>
              <w:jc w:val="both"/>
              <w:rPr>
                <w:rFonts w:ascii="Arial" w:hAnsi="Arial" w:cs="Arial"/>
                <w:sz w:val="16"/>
                <w:szCs w:val="16"/>
              </w:rPr>
            </w:pPr>
            <w:r w:rsidRPr="004F58BB">
              <w:rPr>
                <w:rFonts w:ascii="Arial" w:hAnsi="Arial" w:cs="Arial"/>
                <w:sz w:val="16"/>
                <w:szCs w:val="16"/>
              </w:rPr>
              <w:t xml:space="preserve">Omjer nominalnih promjena (9,66% prema 84,51% i 50% prema 144,12%) izravno je suprotan članku 25. stavku 5. Uredbe o metodologiji za određivanje cijene vodnih usluga (NN 70/23) koja glasi; </w:t>
            </w:r>
          </w:p>
          <w:p w14:paraId="688605CA" w14:textId="77777777" w:rsidR="004F58BB" w:rsidRPr="004F58BB" w:rsidRDefault="004F58BB" w:rsidP="004F58BB">
            <w:pPr>
              <w:spacing w:after="120" w:line="240" w:lineRule="auto"/>
              <w:jc w:val="both"/>
              <w:rPr>
                <w:rFonts w:ascii="Arial" w:hAnsi="Arial" w:cs="Arial"/>
                <w:sz w:val="16"/>
                <w:szCs w:val="16"/>
              </w:rPr>
            </w:pPr>
            <w:r w:rsidRPr="004F58BB">
              <w:rPr>
                <w:rFonts w:ascii="Arial" w:hAnsi="Arial" w:cs="Arial"/>
                <w:sz w:val="16"/>
                <w:szCs w:val="16"/>
              </w:rPr>
              <w:t>(5) Omjer tarife za kućanstva s punom tarifom i za poslovne korisnike ne smije biti veći od 1,7 odnosno veći od omjera tih tarifa koji je postojao kod isporučitelja vodne usluge na dan 31. prosinca 2022., ovisno koji je omjer manji.(…)</w:t>
            </w:r>
          </w:p>
          <w:p w14:paraId="78990B91" w14:textId="77777777" w:rsidR="004F58BB" w:rsidRPr="004F58BB" w:rsidRDefault="004F58BB" w:rsidP="004F58BB">
            <w:pPr>
              <w:spacing w:after="120" w:line="240" w:lineRule="auto"/>
              <w:jc w:val="both"/>
              <w:rPr>
                <w:rFonts w:ascii="Arial" w:hAnsi="Arial" w:cs="Arial"/>
                <w:sz w:val="16"/>
                <w:szCs w:val="16"/>
              </w:rPr>
            </w:pPr>
          </w:p>
          <w:p w14:paraId="7D902427" w14:textId="02AFF75A" w:rsidR="004F58BB" w:rsidRPr="004F58BB" w:rsidRDefault="004F58BB" w:rsidP="004F58BB">
            <w:pPr>
              <w:spacing w:after="120" w:line="240" w:lineRule="auto"/>
              <w:jc w:val="both"/>
              <w:rPr>
                <w:rFonts w:ascii="Arial" w:hAnsi="Arial" w:cs="Arial"/>
                <w:sz w:val="16"/>
                <w:szCs w:val="16"/>
              </w:rPr>
            </w:pPr>
          </w:p>
        </w:tc>
        <w:tc>
          <w:tcPr>
            <w:tcW w:w="1276" w:type="dxa"/>
          </w:tcPr>
          <w:p w14:paraId="1DC7D598" w14:textId="760C0D40" w:rsidR="004F58BB" w:rsidRPr="00E96086" w:rsidRDefault="004F58BB" w:rsidP="004F58BB">
            <w:pPr>
              <w:spacing w:after="120" w:line="240" w:lineRule="auto"/>
              <w:jc w:val="both"/>
              <w:rPr>
                <w:rFonts w:ascii="Arial" w:hAnsi="Arial" w:cs="Arial"/>
                <w:sz w:val="20"/>
                <w:szCs w:val="20"/>
              </w:rPr>
            </w:pPr>
            <w:r>
              <w:rPr>
                <w:rFonts w:ascii="Arial" w:hAnsi="Arial" w:cs="Arial"/>
                <w:sz w:val="20"/>
                <w:szCs w:val="20"/>
              </w:rPr>
              <w:t xml:space="preserve">Prihvaća se </w:t>
            </w:r>
          </w:p>
        </w:tc>
      </w:tr>
      <w:tr w:rsidR="004F58BB" w:rsidRPr="00E96086" w14:paraId="3C3F49BB" w14:textId="77777777" w:rsidTr="004F58BB">
        <w:trPr>
          <w:trHeight w:val="567"/>
        </w:trPr>
        <w:tc>
          <w:tcPr>
            <w:tcW w:w="421" w:type="dxa"/>
          </w:tcPr>
          <w:p w14:paraId="13956793" w14:textId="6CA96C60" w:rsidR="004F58BB" w:rsidRPr="00E96086" w:rsidRDefault="004F58BB" w:rsidP="004F58BB">
            <w:pPr>
              <w:spacing w:after="120" w:line="240" w:lineRule="auto"/>
              <w:jc w:val="both"/>
              <w:rPr>
                <w:rFonts w:ascii="Arial" w:hAnsi="Arial" w:cs="Arial"/>
                <w:sz w:val="20"/>
                <w:szCs w:val="20"/>
              </w:rPr>
            </w:pPr>
            <w:r>
              <w:rPr>
                <w:rFonts w:ascii="Arial" w:hAnsi="Arial" w:cs="Arial"/>
                <w:sz w:val="20"/>
                <w:szCs w:val="20"/>
              </w:rPr>
              <w:t>4.</w:t>
            </w:r>
          </w:p>
        </w:tc>
        <w:tc>
          <w:tcPr>
            <w:tcW w:w="1701" w:type="dxa"/>
          </w:tcPr>
          <w:p w14:paraId="65B33DB4" w14:textId="14FB12E0" w:rsidR="004F58BB" w:rsidRPr="00E96086" w:rsidRDefault="004F58BB" w:rsidP="004F58BB">
            <w:pPr>
              <w:spacing w:after="120" w:line="240" w:lineRule="auto"/>
              <w:jc w:val="both"/>
              <w:rPr>
                <w:rFonts w:ascii="Arial" w:hAnsi="Arial" w:cs="Arial"/>
                <w:sz w:val="20"/>
                <w:szCs w:val="20"/>
              </w:rPr>
            </w:pPr>
            <w:r>
              <w:rPr>
                <w:rFonts w:ascii="Arial" w:hAnsi="Arial" w:cs="Arial"/>
                <w:sz w:val="20"/>
                <w:szCs w:val="20"/>
              </w:rPr>
              <w:t>Vijeće za vodne usluge</w:t>
            </w:r>
          </w:p>
        </w:tc>
        <w:tc>
          <w:tcPr>
            <w:tcW w:w="1984" w:type="dxa"/>
          </w:tcPr>
          <w:p w14:paraId="28531149" w14:textId="2DD8AEAF" w:rsidR="004F58BB" w:rsidRPr="00E96086" w:rsidRDefault="004F58BB" w:rsidP="004F58BB">
            <w:pPr>
              <w:spacing w:after="120" w:line="240" w:lineRule="auto"/>
              <w:jc w:val="both"/>
              <w:rPr>
                <w:rFonts w:ascii="Arial" w:hAnsi="Arial" w:cs="Arial"/>
                <w:sz w:val="20"/>
                <w:szCs w:val="20"/>
              </w:rPr>
            </w:pPr>
            <w:r>
              <w:rPr>
                <w:rFonts w:ascii="Arial" w:hAnsi="Arial" w:cs="Arial"/>
                <w:sz w:val="20"/>
                <w:szCs w:val="20"/>
              </w:rPr>
              <w:t xml:space="preserve">Točka XII. </w:t>
            </w:r>
            <w:r w:rsidR="00535B5F">
              <w:rPr>
                <w:rFonts w:ascii="Arial" w:hAnsi="Arial" w:cs="Arial"/>
                <w:sz w:val="20"/>
                <w:szCs w:val="20"/>
              </w:rPr>
              <w:t xml:space="preserve">Nacrta </w:t>
            </w:r>
            <w:r>
              <w:rPr>
                <w:rFonts w:ascii="Arial" w:hAnsi="Arial" w:cs="Arial"/>
                <w:sz w:val="20"/>
                <w:szCs w:val="20"/>
              </w:rPr>
              <w:t>Odluke</w:t>
            </w:r>
          </w:p>
        </w:tc>
        <w:tc>
          <w:tcPr>
            <w:tcW w:w="3969" w:type="dxa"/>
          </w:tcPr>
          <w:p w14:paraId="6397D307" w14:textId="7B058191" w:rsidR="004F58BB" w:rsidRPr="004F58BB" w:rsidRDefault="004F58BB" w:rsidP="004F58BB">
            <w:pPr>
              <w:spacing w:beforeLines="60" w:before="144" w:afterLines="60" w:after="144" w:line="240" w:lineRule="auto"/>
              <w:rPr>
                <w:rFonts w:ascii="Arial" w:hAnsi="Arial" w:cs="Arial"/>
                <w:bCs/>
                <w:sz w:val="20"/>
                <w:szCs w:val="20"/>
              </w:rPr>
            </w:pPr>
            <w:r>
              <w:rPr>
                <w:rFonts w:ascii="Arial" w:hAnsi="Arial" w:cs="Arial"/>
                <w:bCs/>
                <w:sz w:val="20"/>
                <w:szCs w:val="20"/>
              </w:rPr>
              <w:t>-</w:t>
            </w:r>
            <w:r w:rsidRPr="004F58BB">
              <w:rPr>
                <w:rFonts w:ascii="Arial" w:hAnsi="Arial" w:cs="Arial"/>
                <w:bCs/>
                <w:sz w:val="20"/>
                <w:szCs w:val="20"/>
              </w:rPr>
              <w:t xml:space="preserve">brisati da je Odluka donesena istekom 30 dana od dana podnošenja te treba glasiti da je Odluka donesena uz suglasnost JLS(navesti kojih) </w:t>
            </w:r>
          </w:p>
          <w:p w14:paraId="528790C1" w14:textId="6A34018A" w:rsidR="004F58BB" w:rsidRDefault="004F58BB" w:rsidP="004F58BB">
            <w:pPr>
              <w:spacing w:beforeLines="60" w:before="144" w:afterLines="60" w:after="144" w:line="240" w:lineRule="auto"/>
              <w:rPr>
                <w:rFonts w:ascii="Arial" w:hAnsi="Arial" w:cs="Arial"/>
                <w:bCs/>
                <w:sz w:val="20"/>
                <w:szCs w:val="20"/>
              </w:rPr>
            </w:pPr>
            <w:r>
              <w:rPr>
                <w:rFonts w:ascii="Arial" w:hAnsi="Arial" w:cs="Arial"/>
                <w:bCs/>
                <w:sz w:val="20"/>
                <w:szCs w:val="20"/>
              </w:rPr>
              <w:t xml:space="preserve">    -umjesto u službenom glasniku Grada Slatine (a što se i ne mora objaviti)a ako se objavljuje onda treba staviti u oglasnom dijelu Službenog glasnika Grada Slatine.</w:t>
            </w:r>
          </w:p>
          <w:p w14:paraId="15CAF0C5" w14:textId="35C91474" w:rsidR="004F58BB" w:rsidRPr="00E96086" w:rsidRDefault="004F58BB" w:rsidP="004F58BB">
            <w:pPr>
              <w:spacing w:after="120" w:line="240" w:lineRule="auto"/>
              <w:jc w:val="both"/>
              <w:rPr>
                <w:rFonts w:ascii="Arial" w:hAnsi="Arial" w:cs="Arial"/>
                <w:sz w:val="20"/>
                <w:szCs w:val="20"/>
              </w:rPr>
            </w:pPr>
          </w:p>
        </w:tc>
        <w:tc>
          <w:tcPr>
            <w:tcW w:w="1276" w:type="dxa"/>
          </w:tcPr>
          <w:p w14:paraId="2583617A" w14:textId="5979989D" w:rsidR="004F58BB" w:rsidRPr="00E96086" w:rsidRDefault="004F58BB" w:rsidP="004F58BB">
            <w:pPr>
              <w:spacing w:after="120" w:line="240" w:lineRule="auto"/>
              <w:jc w:val="both"/>
              <w:rPr>
                <w:rFonts w:ascii="Arial" w:hAnsi="Arial" w:cs="Arial"/>
                <w:sz w:val="20"/>
                <w:szCs w:val="20"/>
              </w:rPr>
            </w:pPr>
            <w:r>
              <w:rPr>
                <w:rFonts w:ascii="Arial" w:hAnsi="Arial" w:cs="Arial"/>
                <w:sz w:val="20"/>
                <w:szCs w:val="20"/>
              </w:rPr>
              <w:t>Prihvaća se</w:t>
            </w:r>
          </w:p>
        </w:tc>
      </w:tr>
      <w:tr w:rsidR="004F58BB" w:rsidRPr="00E96086" w14:paraId="63AEF6DB" w14:textId="77777777" w:rsidTr="008272EA">
        <w:trPr>
          <w:trHeight w:val="1119"/>
        </w:trPr>
        <w:tc>
          <w:tcPr>
            <w:tcW w:w="421" w:type="dxa"/>
          </w:tcPr>
          <w:p w14:paraId="37644223" w14:textId="38CF0652" w:rsidR="004F58BB" w:rsidRDefault="004F58BB" w:rsidP="004F58BB">
            <w:pPr>
              <w:spacing w:after="120" w:line="240" w:lineRule="auto"/>
              <w:jc w:val="both"/>
              <w:rPr>
                <w:rFonts w:ascii="Arial" w:hAnsi="Arial" w:cs="Arial"/>
                <w:sz w:val="20"/>
                <w:szCs w:val="20"/>
              </w:rPr>
            </w:pPr>
            <w:r>
              <w:rPr>
                <w:rFonts w:ascii="Arial" w:hAnsi="Arial" w:cs="Arial"/>
                <w:sz w:val="20"/>
                <w:szCs w:val="20"/>
              </w:rPr>
              <w:t xml:space="preserve">5. </w:t>
            </w:r>
          </w:p>
        </w:tc>
        <w:tc>
          <w:tcPr>
            <w:tcW w:w="1701" w:type="dxa"/>
          </w:tcPr>
          <w:p w14:paraId="1C49F9D4" w14:textId="4A8F517D" w:rsidR="004F58BB" w:rsidRDefault="004F58BB" w:rsidP="004F58BB">
            <w:pPr>
              <w:spacing w:after="120" w:line="240" w:lineRule="auto"/>
              <w:jc w:val="both"/>
              <w:rPr>
                <w:rFonts w:ascii="Arial" w:hAnsi="Arial" w:cs="Arial"/>
                <w:sz w:val="20"/>
                <w:szCs w:val="20"/>
              </w:rPr>
            </w:pPr>
            <w:r>
              <w:rPr>
                <w:rFonts w:ascii="Arial" w:hAnsi="Arial" w:cs="Arial"/>
                <w:sz w:val="20"/>
                <w:szCs w:val="20"/>
              </w:rPr>
              <w:t>Vijeće za vodne usluge</w:t>
            </w:r>
          </w:p>
        </w:tc>
        <w:tc>
          <w:tcPr>
            <w:tcW w:w="1984" w:type="dxa"/>
          </w:tcPr>
          <w:p w14:paraId="5D020DEF" w14:textId="5F35C60D" w:rsidR="004F58BB" w:rsidRDefault="004F58BB" w:rsidP="004F58BB">
            <w:pPr>
              <w:spacing w:after="120" w:line="240" w:lineRule="auto"/>
              <w:jc w:val="both"/>
              <w:rPr>
                <w:rFonts w:ascii="Arial" w:hAnsi="Arial" w:cs="Arial"/>
                <w:sz w:val="20"/>
                <w:szCs w:val="20"/>
              </w:rPr>
            </w:pPr>
            <w:r>
              <w:rPr>
                <w:rFonts w:ascii="Arial" w:hAnsi="Arial" w:cs="Arial"/>
                <w:sz w:val="20"/>
                <w:szCs w:val="20"/>
              </w:rPr>
              <w:t>Točka XIII.</w:t>
            </w:r>
            <w:r w:rsidR="00535B5F">
              <w:rPr>
                <w:rFonts w:ascii="Arial" w:hAnsi="Arial" w:cs="Arial"/>
                <w:sz w:val="20"/>
                <w:szCs w:val="20"/>
              </w:rPr>
              <w:t xml:space="preserve"> nacrta</w:t>
            </w:r>
            <w:r>
              <w:rPr>
                <w:rFonts w:ascii="Arial" w:hAnsi="Arial" w:cs="Arial"/>
                <w:sz w:val="20"/>
                <w:szCs w:val="20"/>
              </w:rPr>
              <w:t xml:space="preserve"> Odluke</w:t>
            </w:r>
          </w:p>
        </w:tc>
        <w:tc>
          <w:tcPr>
            <w:tcW w:w="3969" w:type="dxa"/>
          </w:tcPr>
          <w:p w14:paraId="55DEB771" w14:textId="77777777" w:rsidR="004F58BB" w:rsidRDefault="004F58BB" w:rsidP="004F58BB">
            <w:pPr>
              <w:spacing w:beforeLines="60" w:before="144" w:afterLines="60" w:after="144" w:line="240" w:lineRule="auto"/>
              <w:rPr>
                <w:rFonts w:ascii="Arial" w:hAnsi="Arial" w:cs="Arial"/>
                <w:bCs/>
                <w:sz w:val="20"/>
                <w:szCs w:val="20"/>
              </w:rPr>
            </w:pPr>
            <w:r>
              <w:rPr>
                <w:rFonts w:ascii="Arial" w:hAnsi="Arial" w:cs="Arial"/>
                <w:bCs/>
                <w:sz w:val="20"/>
                <w:szCs w:val="20"/>
              </w:rPr>
              <w:t>-umjesto određivanja točnog dana stupanja na snagu Odluke potrebno je navesti da Odluka stupa na snagu prvoga dana u kalendarskom mjesecu, koji neposredno slijedi; isteku osmog dana od dana objave u Službenom glasniku Virovitičko-podravske županije</w:t>
            </w:r>
          </w:p>
          <w:p w14:paraId="32DD7473" w14:textId="7EA3EFB0" w:rsidR="00535B5F" w:rsidRDefault="00535B5F" w:rsidP="004F58BB">
            <w:pPr>
              <w:spacing w:beforeLines="60" w:before="144" w:afterLines="60" w:after="144" w:line="240" w:lineRule="auto"/>
              <w:rPr>
                <w:rFonts w:ascii="Arial" w:hAnsi="Arial" w:cs="Arial"/>
                <w:bCs/>
                <w:sz w:val="20"/>
                <w:szCs w:val="20"/>
              </w:rPr>
            </w:pPr>
          </w:p>
        </w:tc>
        <w:tc>
          <w:tcPr>
            <w:tcW w:w="1276" w:type="dxa"/>
          </w:tcPr>
          <w:p w14:paraId="74C92575" w14:textId="284B6EE8" w:rsidR="004F58BB" w:rsidRDefault="004F58BB" w:rsidP="004F58BB">
            <w:pPr>
              <w:spacing w:after="120" w:line="240" w:lineRule="auto"/>
              <w:jc w:val="both"/>
              <w:rPr>
                <w:rFonts w:ascii="Arial" w:hAnsi="Arial" w:cs="Arial"/>
                <w:sz w:val="20"/>
                <w:szCs w:val="20"/>
              </w:rPr>
            </w:pPr>
            <w:r>
              <w:rPr>
                <w:rFonts w:ascii="Arial" w:hAnsi="Arial" w:cs="Arial"/>
                <w:sz w:val="20"/>
                <w:szCs w:val="20"/>
              </w:rPr>
              <w:t>Prihvaća se</w:t>
            </w:r>
          </w:p>
        </w:tc>
      </w:tr>
      <w:tr w:rsidR="008272EA" w:rsidRPr="00E96086" w14:paraId="06CB1C8A" w14:textId="77777777" w:rsidTr="004F58BB">
        <w:trPr>
          <w:trHeight w:val="567"/>
        </w:trPr>
        <w:tc>
          <w:tcPr>
            <w:tcW w:w="421" w:type="dxa"/>
          </w:tcPr>
          <w:p w14:paraId="53849C79" w14:textId="17FA8968" w:rsidR="008272EA" w:rsidRDefault="008272EA" w:rsidP="004F58BB">
            <w:pPr>
              <w:spacing w:after="120" w:line="240" w:lineRule="auto"/>
              <w:jc w:val="both"/>
              <w:rPr>
                <w:rFonts w:ascii="Arial" w:hAnsi="Arial" w:cs="Arial"/>
                <w:sz w:val="20"/>
                <w:szCs w:val="20"/>
              </w:rPr>
            </w:pPr>
            <w:r>
              <w:rPr>
                <w:rFonts w:ascii="Arial" w:hAnsi="Arial" w:cs="Arial"/>
                <w:sz w:val="20"/>
                <w:szCs w:val="20"/>
              </w:rPr>
              <w:t>6.</w:t>
            </w:r>
          </w:p>
        </w:tc>
        <w:tc>
          <w:tcPr>
            <w:tcW w:w="1701" w:type="dxa"/>
          </w:tcPr>
          <w:p w14:paraId="2173B955" w14:textId="1A04947A" w:rsidR="008272EA" w:rsidRDefault="008272EA" w:rsidP="004F58BB">
            <w:pPr>
              <w:spacing w:after="120" w:line="240" w:lineRule="auto"/>
              <w:jc w:val="both"/>
              <w:rPr>
                <w:rFonts w:ascii="Arial" w:hAnsi="Arial" w:cs="Arial"/>
                <w:sz w:val="20"/>
                <w:szCs w:val="20"/>
              </w:rPr>
            </w:pPr>
            <w:r>
              <w:rPr>
                <w:rFonts w:ascii="Arial" w:hAnsi="Arial" w:cs="Arial"/>
                <w:sz w:val="20"/>
                <w:szCs w:val="20"/>
              </w:rPr>
              <w:t>MAJA VENUS</w:t>
            </w:r>
          </w:p>
        </w:tc>
        <w:tc>
          <w:tcPr>
            <w:tcW w:w="1984" w:type="dxa"/>
          </w:tcPr>
          <w:p w14:paraId="6F99B084" w14:textId="69533B95" w:rsidR="008272EA" w:rsidRDefault="008272EA" w:rsidP="004F58BB">
            <w:pPr>
              <w:spacing w:after="120" w:line="240" w:lineRule="auto"/>
              <w:jc w:val="both"/>
              <w:rPr>
                <w:rFonts w:ascii="Arial" w:hAnsi="Arial" w:cs="Arial"/>
                <w:sz w:val="20"/>
                <w:szCs w:val="20"/>
              </w:rPr>
            </w:pPr>
            <w:r>
              <w:rPr>
                <w:rFonts w:ascii="Arial" w:hAnsi="Arial" w:cs="Arial"/>
                <w:sz w:val="20"/>
                <w:szCs w:val="20"/>
              </w:rPr>
              <w:t>Točka III. i točka V nacrta Odluke</w:t>
            </w:r>
          </w:p>
        </w:tc>
        <w:tc>
          <w:tcPr>
            <w:tcW w:w="3969" w:type="dxa"/>
          </w:tcPr>
          <w:p w14:paraId="08E7BA94" w14:textId="77777777" w:rsidR="0028439D" w:rsidRPr="00004DDA" w:rsidRDefault="0028439D" w:rsidP="0028439D">
            <w:pPr>
              <w:rPr>
                <w:rFonts w:ascii="Arial" w:hAnsi="Arial" w:cs="Arial"/>
                <w:sz w:val="20"/>
                <w:szCs w:val="20"/>
              </w:rPr>
            </w:pPr>
            <w:r w:rsidRPr="00004DDA">
              <w:rPr>
                <w:rFonts w:ascii="Arial" w:hAnsi="Arial" w:cs="Arial"/>
                <w:sz w:val="20"/>
                <w:szCs w:val="20"/>
              </w:rPr>
              <w:t xml:space="preserve">Primjedba na točku III. </w:t>
            </w:r>
            <w:proofErr w:type="spellStart"/>
            <w:r w:rsidRPr="00004DDA">
              <w:rPr>
                <w:rFonts w:ascii="Arial" w:hAnsi="Arial" w:cs="Arial"/>
                <w:sz w:val="20"/>
                <w:szCs w:val="20"/>
              </w:rPr>
              <w:t>Podtočku</w:t>
            </w:r>
            <w:proofErr w:type="spellEnd"/>
            <w:r w:rsidRPr="00004DDA">
              <w:rPr>
                <w:rFonts w:ascii="Arial" w:hAnsi="Arial" w:cs="Arial"/>
                <w:sz w:val="20"/>
                <w:szCs w:val="20"/>
              </w:rPr>
              <w:t xml:space="preserve"> 9. I 10.  i na točku V </w:t>
            </w:r>
            <w:proofErr w:type="spellStart"/>
            <w:r w:rsidRPr="00004DDA">
              <w:rPr>
                <w:rFonts w:ascii="Arial" w:hAnsi="Arial" w:cs="Arial"/>
                <w:sz w:val="20"/>
                <w:szCs w:val="20"/>
              </w:rPr>
              <w:t>podtočku</w:t>
            </w:r>
            <w:proofErr w:type="spellEnd"/>
            <w:r w:rsidRPr="00004DDA">
              <w:rPr>
                <w:rFonts w:ascii="Arial" w:hAnsi="Arial" w:cs="Arial"/>
                <w:sz w:val="20"/>
                <w:szCs w:val="20"/>
              </w:rPr>
              <w:t xml:space="preserve"> 9. i 10 </w:t>
            </w:r>
          </w:p>
          <w:p w14:paraId="3CED6754" w14:textId="77777777" w:rsidR="0028439D" w:rsidRPr="00004DDA" w:rsidRDefault="0028439D" w:rsidP="0028439D">
            <w:pPr>
              <w:rPr>
                <w:rFonts w:ascii="Arial" w:hAnsi="Arial" w:cs="Arial"/>
                <w:sz w:val="20"/>
                <w:szCs w:val="20"/>
              </w:rPr>
            </w:pPr>
            <w:r w:rsidRPr="00004DDA">
              <w:rPr>
                <w:rFonts w:ascii="Arial" w:hAnsi="Arial" w:cs="Arial"/>
                <w:sz w:val="20"/>
                <w:szCs w:val="20"/>
              </w:rPr>
              <w:t>Smatram da je iskazana cijena vodne usluge skupljanja otpadnih voda (varijabilna) za kućanstva koja nisu priključena na komunalne vodne građevine javne vodoopskrbe nego samo na odvodnju previsoka. Iskazali ste cijenu koja sadrži 5m3 odvodnje po članu kućanstva. Koliko je meni poznato potrošnja vode se kreće od 3 do 4m3 po članu kućanstva u što je uračunata i ostala potrošnja a ne samo za sanitarne potrebe.</w:t>
            </w:r>
          </w:p>
          <w:p w14:paraId="7AA1D7C1" w14:textId="77777777" w:rsidR="0028439D" w:rsidRPr="00004DDA" w:rsidRDefault="0028439D" w:rsidP="0028439D">
            <w:pPr>
              <w:rPr>
                <w:rFonts w:ascii="Arial" w:hAnsi="Arial" w:cs="Arial"/>
                <w:sz w:val="20"/>
                <w:szCs w:val="20"/>
              </w:rPr>
            </w:pPr>
            <w:r w:rsidRPr="00004DDA">
              <w:rPr>
                <w:rFonts w:ascii="Arial" w:hAnsi="Arial" w:cs="Arial"/>
                <w:sz w:val="20"/>
                <w:szCs w:val="20"/>
              </w:rPr>
              <w:t>Molim vas da razmotrite nacrt Odluke i iskazane količine za građane koji su priključeni samo na odvodnju a ne na vodu te smanjite iskazane cijene.</w:t>
            </w:r>
          </w:p>
          <w:p w14:paraId="7615B275" w14:textId="77777777" w:rsidR="008272EA" w:rsidRDefault="008272EA" w:rsidP="004F58BB">
            <w:pPr>
              <w:spacing w:beforeLines="60" w:before="144" w:afterLines="60" w:after="144" w:line="240" w:lineRule="auto"/>
              <w:rPr>
                <w:rFonts w:ascii="Arial" w:hAnsi="Arial" w:cs="Arial"/>
                <w:bCs/>
                <w:sz w:val="20"/>
                <w:szCs w:val="20"/>
              </w:rPr>
            </w:pPr>
          </w:p>
        </w:tc>
        <w:tc>
          <w:tcPr>
            <w:tcW w:w="1276" w:type="dxa"/>
          </w:tcPr>
          <w:p w14:paraId="396C321C" w14:textId="79EFCC22" w:rsidR="008272EA" w:rsidRDefault="0028439D" w:rsidP="004F58BB">
            <w:pPr>
              <w:spacing w:after="120" w:line="240" w:lineRule="auto"/>
              <w:jc w:val="both"/>
              <w:rPr>
                <w:rFonts w:ascii="Arial" w:hAnsi="Arial" w:cs="Arial"/>
                <w:sz w:val="20"/>
                <w:szCs w:val="20"/>
              </w:rPr>
            </w:pPr>
            <w:r>
              <w:rPr>
                <w:rFonts w:ascii="Arial" w:hAnsi="Arial" w:cs="Arial"/>
                <w:sz w:val="20"/>
                <w:szCs w:val="20"/>
              </w:rPr>
              <w:t>Prihvaća se jer je napravljen uvid u prosječnu potrošnju po broju članova kućanstva</w:t>
            </w:r>
            <w:r w:rsidR="00F277AE">
              <w:rPr>
                <w:rFonts w:ascii="Arial" w:hAnsi="Arial" w:cs="Arial"/>
                <w:sz w:val="20"/>
                <w:szCs w:val="20"/>
              </w:rPr>
              <w:t xml:space="preserve"> i utvrđena je prosječna potrošnja od cca 3m3 po članu kućanstva</w:t>
            </w:r>
          </w:p>
        </w:tc>
      </w:tr>
      <w:tr w:rsidR="00F25783" w:rsidRPr="00E96086" w14:paraId="01A023C6" w14:textId="77777777" w:rsidTr="004F58BB">
        <w:trPr>
          <w:trHeight w:val="567"/>
        </w:trPr>
        <w:tc>
          <w:tcPr>
            <w:tcW w:w="421" w:type="dxa"/>
          </w:tcPr>
          <w:p w14:paraId="65253F1C" w14:textId="2B3892B1" w:rsidR="00F25783" w:rsidRDefault="008272EA" w:rsidP="004F58BB">
            <w:pPr>
              <w:spacing w:after="120" w:line="240" w:lineRule="auto"/>
              <w:jc w:val="both"/>
              <w:rPr>
                <w:rFonts w:ascii="Arial" w:hAnsi="Arial" w:cs="Arial"/>
                <w:sz w:val="20"/>
                <w:szCs w:val="20"/>
              </w:rPr>
            </w:pPr>
            <w:r>
              <w:rPr>
                <w:rFonts w:ascii="Arial" w:hAnsi="Arial" w:cs="Arial"/>
                <w:sz w:val="20"/>
                <w:szCs w:val="20"/>
              </w:rPr>
              <w:t>7</w:t>
            </w:r>
            <w:r w:rsidR="00F25783">
              <w:rPr>
                <w:rFonts w:ascii="Arial" w:hAnsi="Arial" w:cs="Arial"/>
                <w:sz w:val="20"/>
                <w:szCs w:val="20"/>
              </w:rPr>
              <w:t>.</w:t>
            </w:r>
          </w:p>
        </w:tc>
        <w:tc>
          <w:tcPr>
            <w:tcW w:w="1701" w:type="dxa"/>
          </w:tcPr>
          <w:p w14:paraId="60F2FB86" w14:textId="39C0022D" w:rsidR="00F25783" w:rsidRDefault="00F25783" w:rsidP="004F58BB">
            <w:pPr>
              <w:spacing w:after="120" w:line="240" w:lineRule="auto"/>
              <w:jc w:val="both"/>
              <w:rPr>
                <w:rFonts w:ascii="Arial" w:hAnsi="Arial" w:cs="Arial"/>
                <w:sz w:val="20"/>
                <w:szCs w:val="20"/>
              </w:rPr>
            </w:pPr>
            <w:r>
              <w:rPr>
                <w:rFonts w:ascii="Arial" w:hAnsi="Arial" w:cs="Arial"/>
                <w:sz w:val="20"/>
                <w:szCs w:val="20"/>
              </w:rPr>
              <w:t>LEON VILK</w:t>
            </w:r>
          </w:p>
        </w:tc>
        <w:tc>
          <w:tcPr>
            <w:tcW w:w="1984" w:type="dxa"/>
          </w:tcPr>
          <w:p w14:paraId="64A8222A" w14:textId="0EB18203" w:rsidR="00F25783" w:rsidRDefault="00F25783" w:rsidP="004F58BB">
            <w:pPr>
              <w:spacing w:after="120" w:line="240" w:lineRule="auto"/>
              <w:jc w:val="both"/>
              <w:rPr>
                <w:rFonts w:ascii="Arial" w:hAnsi="Arial" w:cs="Arial"/>
                <w:sz w:val="20"/>
                <w:szCs w:val="20"/>
              </w:rPr>
            </w:pPr>
            <w:r>
              <w:rPr>
                <w:rFonts w:ascii="Arial" w:hAnsi="Arial" w:cs="Arial"/>
                <w:sz w:val="20"/>
                <w:szCs w:val="20"/>
              </w:rPr>
              <w:t xml:space="preserve">Točka III. i točka V </w:t>
            </w:r>
            <w:r w:rsidR="00535B5F">
              <w:rPr>
                <w:rFonts w:ascii="Arial" w:hAnsi="Arial" w:cs="Arial"/>
                <w:sz w:val="20"/>
                <w:szCs w:val="20"/>
              </w:rPr>
              <w:t>nacrta Odluke</w:t>
            </w:r>
          </w:p>
        </w:tc>
        <w:tc>
          <w:tcPr>
            <w:tcW w:w="3969" w:type="dxa"/>
          </w:tcPr>
          <w:p w14:paraId="213380F9" w14:textId="2899A2EE" w:rsidR="00F25783" w:rsidRDefault="00535B5F" w:rsidP="004F58BB">
            <w:pPr>
              <w:spacing w:beforeLines="60" w:before="144" w:afterLines="60" w:after="144" w:line="240" w:lineRule="auto"/>
              <w:rPr>
                <w:rFonts w:ascii="Arial" w:hAnsi="Arial" w:cs="Arial"/>
                <w:bCs/>
                <w:sz w:val="20"/>
                <w:szCs w:val="20"/>
              </w:rPr>
            </w:pPr>
            <w:r>
              <w:rPr>
                <w:rFonts w:ascii="Arial" w:hAnsi="Arial" w:cs="Arial"/>
                <w:bCs/>
                <w:sz w:val="20"/>
                <w:szCs w:val="20"/>
              </w:rPr>
              <w:t>Nije određena cijena za socijalno ugrožene građane kod cijene vodne usluge crpljenja, odvoza i zbrinjavanja otpadnih voda iz individualnih sustava odvodnje</w:t>
            </w:r>
          </w:p>
        </w:tc>
        <w:tc>
          <w:tcPr>
            <w:tcW w:w="1276" w:type="dxa"/>
          </w:tcPr>
          <w:p w14:paraId="4FE79085" w14:textId="58BF4C6B" w:rsidR="00F25783" w:rsidRDefault="00535B5F" w:rsidP="004F58BB">
            <w:pPr>
              <w:spacing w:after="120" w:line="240" w:lineRule="auto"/>
              <w:jc w:val="both"/>
              <w:rPr>
                <w:rFonts w:ascii="Arial" w:hAnsi="Arial" w:cs="Arial"/>
                <w:sz w:val="20"/>
                <w:szCs w:val="20"/>
              </w:rPr>
            </w:pPr>
            <w:r>
              <w:rPr>
                <w:rFonts w:ascii="Arial" w:hAnsi="Arial" w:cs="Arial"/>
                <w:sz w:val="20"/>
                <w:szCs w:val="20"/>
              </w:rPr>
              <w:t>Prihvaća se</w:t>
            </w:r>
          </w:p>
        </w:tc>
      </w:tr>
    </w:tbl>
    <w:p w14:paraId="62FC5E8D" w14:textId="000B94F8" w:rsidR="00FF0B57" w:rsidRPr="00E96086" w:rsidRDefault="00FF0B57">
      <w:pPr>
        <w:rPr>
          <w:rFonts w:ascii="Arial" w:hAnsi="Arial" w:cs="Arial"/>
        </w:rPr>
      </w:pPr>
    </w:p>
    <w:sectPr w:rsidR="00FF0B57" w:rsidRPr="00E96086" w:rsidSect="00A34133">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9D66C" w14:textId="77777777" w:rsidR="00B862D3" w:rsidRDefault="00B862D3" w:rsidP="00E96086">
      <w:pPr>
        <w:spacing w:after="0" w:line="240" w:lineRule="auto"/>
      </w:pPr>
      <w:r>
        <w:separator/>
      </w:r>
    </w:p>
  </w:endnote>
  <w:endnote w:type="continuationSeparator" w:id="0">
    <w:p w14:paraId="0F47F26B" w14:textId="77777777" w:rsidR="00B862D3" w:rsidRDefault="00B862D3" w:rsidP="00E9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46283" w14:textId="77777777" w:rsidR="00B862D3" w:rsidRDefault="00B862D3" w:rsidP="00E96086">
      <w:pPr>
        <w:spacing w:after="0" w:line="240" w:lineRule="auto"/>
      </w:pPr>
      <w:r>
        <w:separator/>
      </w:r>
    </w:p>
  </w:footnote>
  <w:footnote w:type="continuationSeparator" w:id="0">
    <w:p w14:paraId="13E33FC4" w14:textId="77777777" w:rsidR="00B862D3" w:rsidRDefault="00B862D3" w:rsidP="00E96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360C" w14:textId="77777777" w:rsidR="00345541" w:rsidRPr="00E96086" w:rsidRDefault="00345541" w:rsidP="00345541">
    <w:pPr>
      <w:pStyle w:val="Zaglavlje"/>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E3658"/>
    <w:multiLevelType w:val="hybridMultilevel"/>
    <w:tmpl w:val="34AE7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FB5674"/>
    <w:multiLevelType w:val="hybridMultilevel"/>
    <w:tmpl w:val="3D5EB51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8771298">
    <w:abstractNumId w:val="0"/>
  </w:num>
  <w:num w:numId="2" w16cid:durableId="1473281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86"/>
    <w:rsid w:val="00004DDA"/>
    <w:rsid w:val="00053D88"/>
    <w:rsid w:val="000A350D"/>
    <w:rsid w:val="000A3848"/>
    <w:rsid w:val="00127788"/>
    <w:rsid w:val="0013403E"/>
    <w:rsid w:val="00160CC8"/>
    <w:rsid w:val="00171E81"/>
    <w:rsid w:val="001907B5"/>
    <w:rsid w:val="0028439D"/>
    <w:rsid w:val="002B0351"/>
    <w:rsid w:val="0033299D"/>
    <w:rsid w:val="00345541"/>
    <w:rsid w:val="00364DA3"/>
    <w:rsid w:val="003D41E4"/>
    <w:rsid w:val="00403FAD"/>
    <w:rsid w:val="00447EB1"/>
    <w:rsid w:val="004827A1"/>
    <w:rsid w:val="00487095"/>
    <w:rsid w:val="004F58BB"/>
    <w:rsid w:val="00504138"/>
    <w:rsid w:val="00535B5F"/>
    <w:rsid w:val="00540115"/>
    <w:rsid w:val="005B0986"/>
    <w:rsid w:val="00656B27"/>
    <w:rsid w:val="0068714B"/>
    <w:rsid w:val="00710D22"/>
    <w:rsid w:val="00726990"/>
    <w:rsid w:val="0076101F"/>
    <w:rsid w:val="008272EA"/>
    <w:rsid w:val="00861A01"/>
    <w:rsid w:val="0088157D"/>
    <w:rsid w:val="009B7D1E"/>
    <w:rsid w:val="009C4844"/>
    <w:rsid w:val="009E5EEF"/>
    <w:rsid w:val="00A34133"/>
    <w:rsid w:val="00B66FE4"/>
    <w:rsid w:val="00B85C09"/>
    <w:rsid w:val="00B862D3"/>
    <w:rsid w:val="00CC0E96"/>
    <w:rsid w:val="00D427D8"/>
    <w:rsid w:val="00D77DFF"/>
    <w:rsid w:val="00E44AD1"/>
    <w:rsid w:val="00E62116"/>
    <w:rsid w:val="00E738EC"/>
    <w:rsid w:val="00E7558C"/>
    <w:rsid w:val="00E81CEF"/>
    <w:rsid w:val="00E8679F"/>
    <w:rsid w:val="00E96086"/>
    <w:rsid w:val="00EC347B"/>
    <w:rsid w:val="00F25783"/>
    <w:rsid w:val="00F277AE"/>
    <w:rsid w:val="00F742DA"/>
    <w:rsid w:val="00F77EE4"/>
    <w:rsid w:val="00FF0B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8569"/>
  <w15:docId w15:val="{3ECF4878-E804-434F-A335-27BF1249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986"/>
    <w:rPr>
      <w:rFonts w:eastAsiaTheme="minorEastAsia"/>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pisslike">
    <w:name w:val="caption"/>
    <w:basedOn w:val="Normal"/>
    <w:next w:val="Normal"/>
    <w:uiPriority w:val="35"/>
    <w:qFormat/>
    <w:rsid w:val="005B0986"/>
    <w:rPr>
      <w:rFonts w:ascii="Calibri" w:eastAsia="Calibri" w:hAnsi="Calibri" w:cs="Times New Roman"/>
      <w:b/>
      <w:bCs/>
      <w:sz w:val="20"/>
      <w:szCs w:val="20"/>
      <w:lang w:eastAsia="en-US"/>
    </w:rPr>
  </w:style>
  <w:style w:type="paragraph" w:styleId="Zaglavlje">
    <w:name w:val="header"/>
    <w:basedOn w:val="Normal"/>
    <w:link w:val="ZaglavljeChar"/>
    <w:uiPriority w:val="99"/>
    <w:unhideWhenUsed/>
    <w:rsid w:val="00E9608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96086"/>
    <w:rPr>
      <w:rFonts w:eastAsiaTheme="minorEastAsia"/>
      <w:lang w:eastAsia="zh-CN"/>
    </w:rPr>
  </w:style>
  <w:style w:type="paragraph" w:styleId="Podnoje">
    <w:name w:val="footer"/>
    <w:basedOn w:val="Normal"/>
    <w:link w:val="PodnojeChar"/>
    <w:uiPriority w:val="99"/>
    <w:unhideWhenUsed/>
    <w:rsid w:val="00E9608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96086"/>
    <w:rPr>
      <w:rFonts w:eastAsiaTheme="minorEastAsia"/>
      <w:lang w:eastAsia="zh-CN"/>
    </w:rPr>
  </w:style>
  <w:style w:type="character" w:styleId="Hiperveza">
    <w:name w:val="Hyperlink"/>
    <w:basedOn w:val="Zadanifontodlomka"/>
    <w:uiPriority w:val="99"/>
    <w:unhideWhenUsed/>
    <w:rsid w:val="009E5EEF"/>
    <w:rPr>
      <w:color w:val="0000FF" w:themeColor="hyperlink"/>
      <w:u w:val="single"/>
    </w:rPr>
  </w:style>
  <w:style w:type="character" w:styleId="Nerijeenospominjanje">
    <w:name w:val="Unresolved Mention"/>
    <w:basedOn w:val="Zadanifontodlomka"/>
    <w:uiPriority w:val="99"/>
    <w:semiHidden/>
    <w:unhideWhenUsed/>
    <w:rsid w:val="009E5EEF"/>
    <w:rPr>
      <w:color w:val="605E5C"/>
      <w:shd w:val="clear" w:color="auto" w:fill="E1DFDD"/>
    </w:rPr>
  </w:style>
  <w:style w:type="paragraph" w:styleId="Odlomakpopisa">
    <w:name w:val="List Paragraph"/>
    <w:basedOn w:val="Normal"/>
    <w:uiPriority w:val="34"/>
    <w:qFormat/>
    <w:rsid w:val="00160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080613">
      <w:bodyDiv w:val="1"/>
      <w:marLeft w:val="0"/>
      <w:marRight w:val="0"/>
      <w:marTop w:val="0"/>
      <w:marBottom w:val="0"/>
      <w:divBdr>
        <w:top w:val="none" w:sz="0" w:space="0" w:color="auto"/>
        <w:left w:val="none" w:sz="0" w:space="0" w:color="auto"/>
        <w:bottom w:val="none" w:sz="0" w:space="0" w:color="auto"/>
        <w:right w:val="none" w:sz="0" w:space="0" w:color="auto"/>
      </w:divBdr>
    </w:div>
    <w:div w:id="207889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1055</Words>
  <Characters>6015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HT-ICT</cp:lastModifiedBy>
  <cp:revision>13</cp:revision>
  <cp:lastPrinted>2024-08-28T06:26:00Z</cp:lastPrinted>
  <dcterms:created xsi:type="dcterms:W3CDTF">2024-08-12T10:14:00Z</dcterms:created>
  <dcterms:modified xsi:type="dcterms:W3CDTF">2024-08-28T06:26:00Z</dcterms:modified>
</cp:coreProperties>
</file>